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YOYO Phase 1 - Master Implementation Index</w:t>
      </w:r>
    </w:p>
    <w:p>
      <w:r>
        <w:t>Purpose: tell each person what to read first so the document set does not become overwhelming.</w:t>
      </w:r>
    </w:p>
    <w:p>
      <w:pPr>
        <w:pStyle w:val="Heading1"/>
      </w:pPr>
      <w:r>
        <w:t>Authority order</w:t>
      </w:r>
    </w:p>
    <w:p>
      <w:r>
        <w:rPr>
          <w:b/>
        </w:rPr>
        <w:t xml:space="preserve">• </w:t>
      </w:r>
      <w:r>
        <w:t>1. Aligned BRD/FSDs and current locked owner decisions in this pack.</w:t>
      </w:r>
    </w:p>
    <w:p>
      <w:r>
        <w:rPr>
          <w:b/>
        </w:rPr>
        <w:t xml:space="preserve">• </w:t>
      </w:r>
      <w:r>
        <w:t>2. Latest runtime contracts: ERD v2.2, Booking/Availability v1.2 aligned, Booking State, Consultation/Consent, Session State, Money v1.1, Payment/Refund v1.1, Membership v1.1, RBAC v1.1, API v1.1, Validation v1.1.</w:t>
      </w:r>
    </w:p>
    <w:p>
      <w:r>
        <w:rPr>
          <w:b/>
        </w:rPr>
        <w:t xml:space="preserve">• </w:t>
      </w:r>
      <w:r>
        <w:t>3. User Stories v2.2 aligned, RTM v1.1, UAT v1.1.</w:t>
      </w:r>
    </w:p>
    <w:p>
      <w:r>
        <w:rPr>
          <w:b/>
        </w:rPr>
        <w:t xml:space="preserve">• </w:t>
      </w:r>
      <w:r>
        <w:t>4. Approved UI PDFs plus UI Correction &amp; Extension List.</w:t>
      </w:r>
    </w:p>
    <w:p>
      <w:r>
        <w:rPr>
          <w:b/>
        </w:rPr>
        <w:t xml:space="preserve">• </w:t>
      </w:r>
      <w:r>
        <w:t>5. Historical source/discovery documents only when not superseded.</w:t>
      </w:r>
    </w:p>
    <w:p>
      <w:pPr>
        <w:pStyle w:val="Heading1"/>
      </w:pPr>
      <w:r>
        <w:t>Read by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Role</w:t>
            </w:r>
          </w:p>
        </w:tc>
        <w:tc>
          <w:tcPr>
            <w:tcW w:type="dxa" w:w="5112"/>
          </w:tcPr>
          <w:p>
            <w:r>
              <w:t>Primary reading set</w:t>
            </w:r>
          </w:p>
        </w:tc>
      </w:tr>
      <w:tr>
        <w:tc>
          <w:tcPr>
            <w:tcW w:type="dxa" w:w="5112"/>
          </w:tcPr>
          <w:p>
            <w:r>
              <w:t>Backend Developer</w:t>
            </w:r>
          </w:p>
        </w:tc>
        <w:tc>
          <w:tcPr>
            <w:tcW w:type="dxa" w:w="5112"/>
          </w:tcPr>
          <w:p>
            <w:r>
              <w:t>API v1.1 + ERD v2.2 + RBAC v1.1 + relevant state machine + Validation v1.1. Use BRD/FSD only for functional context.</w:t>
            </w:r>
          </w:p>
        </w:tc>
      </w:tr>
      <w:tr>
        <w:tc>
          <w:tcPr>
            <w:tcW w:type="dxa" w:w="5112"/>
          </w:tcPr>
          <w:p>
            <w:r>
              <w:t>Admin Frontend Developer</w:t>
            </w:r>
          </w:p>
        </w:tc>
        <w:tc>
          <w:tcPr>
            <w:tcW w:type="dxa" w:w="5112"/>
          </w:tcPr>
          <w:p>
            <w:r>
              <w:t>Admin FSD v2 + Admin UI PDF + UI Correction/Extension List + screen/API wiring references.</w:t>
            </w:r>
          </w:p>
        </w:tc>
      </w:tr>
      <w:tr>
        <w:tc>
          <w:tcPr>
            <w:tcW w:type="dxa" w:w="5112"/>
          </w:tcPr>
          <w:p>
            <w:r>
              <w:t>App Developer</w:t>
            </w:r>
          </w:p>
        </w:tc>
        <w:tc>
          <w:tcPr>
            <w:tcW w:type="dxa" w:w="5112"/>
          </w:tcPr>
          <w:p>
            <w:r>
              <w:t>Client FSD v2 + Artist FSD v2 + Client/Artist UI PDFs + Mobile Integration v1.1 + API v1.1.</w:t>
            </w:r>
          </w:p>
        </w:tc>
      </w:tr>
      <w:tr>
        <w:tc>
          <w:tcPr>
            <w:tcW w:type="dxa" w:w="5112"/>
          </w:tcPr>
          <w:p>
            <w:r>
              <w:t>QA</w:t>
            </w:r>
          </w:p>
        </w:tc>
        <w:tc>
          <w:tcPr>
            <w:tcW w:type="dxa" w:w="5112"/>
          </w:tcPr>
          <w:p>
            <w:r>
              <w:t>RTM v1.1 + UAT v1.1 + Validation v1.1 + node acceptance criteria once created.</w:t>
            </w:r>
          </w:p>
        </w:tc>
      </w:tr>
      <w:tr>
        <w:tc>
          <w:tcPr>
            <w:tcW w:type="dxa" w:w="5112"/>
          </w:tcPr>
          <w:p>
            <w:r>
              <w:t>Hermes/agents</w:t>
            </w:r>
          </w:p>
        </w:tc>
        <w:tc>
          <w:tcPr>
            <w:tcW w:type="dxa" w:w="5112"/>
          </w:tcPr>
          <w:p>
            <w:r>
              <w:t>Only the current node packet and the exact authoritative source references named by that packet. Do not browse historical docs unless specifically instructed.</w:t>
            </w:r>
          </w:p>
        </w:tc>
      </w:tr>
      <w:tr>
        <w:tc>
          <w:tcPr>
            <w:tcW w:type="dxa" w:w="5112"/>
          </w:tcPr>
          <w:p>
            <w:r>
              <w:t>BA/Product Owner</w:t>
            </w:r>
          </w:p>
        </w:tc>
        <w:tc>
          <w:tcPr>
            <w:tcW w:type="dxa" w:w="5112"/>
          </w:tcPr>
          <w:p>
            <w:r>
              <w:t>Change Register + BRD/FSDs + Product Scope + UAT/sign-off.</w:t>
            </w:r>
          </w:p>
        </w:tc>
      </w:tr>
    </w:tbl>
    <w:p>
      <w:pPr>
        <w:pStyle w:val="Heading1"/>
      </w:pPr>
      <w:r>
        <w:t>Stable documents retained without redesign</w:t>
      </w:r>
    </w:p>
    <w:p>
      <w:r>
        <w:rPr>
          <w:b/>
        </w:rPr>
        <w:t xml:space="preserve">• </w:t>
      </w:r>
      <w:r>
        <w:t>ERD v2.2 - remains current; no schema restructuring approved.</w:t>
      </w:r>
    </w:p>
    <w:p>
      <w:r>
        <w:rPr>
          <w:b/>
        </w:rPr>
        <w:t xml:space="preserve">• </w:t>
      </w:r>
      <w:r>
        <w:t>Booking State Machine v1 - core lifecycle unchanged.</w:t>
      </w:r>
    </w:p>
    <w:p>
      <w:r>
        <w:rPr>
          <w:b/>
        </w:rPr>
        <w:t xml:space="preserve">• </w:t>
      </w:r>
      <w:r>
        <w:t>Artist Consultation &amp; Digital Consent Contract v1 - core model unchanged; OPEN-04 remains.</w:t>
      </w:r>
    </w:p>
    <w:p>
      <w:r>
        <w:rPr>
          <w:b/>
        </w:rPr>
        <w:t xml:space="preserve">• </w:t>
      </w:r>
      <w:r>
        <w:t>Artist Service Session State Machine v1 - core service-session model unchanged.</w:t>
      </w:r>
    </w:p>
    <w:p>
      <w:pPr>
        <w:pStyle w:val="Heading1"/>
      </w:pPr>
      <w:r>
        <w:t>Four open items</w:t>
      </w:r>
    </w:p>
    <w:p>
      <w:r>
        <w:rPr>
          <w:b/>
        </w:rPr>
        <w:t xml:space="preserve">• </w:t>
      </w:r>
      <w:r>
        <w:t>OPEN-01 — Final GST / tax / HSN-SAC / invoice statutory configuration (pending current invoice evidence).</w:t>
      </w:r>
    </w:p>
    <w:p>
      <w:r>
        <w:rPr>
          <w:b/>
        </w:rPr>
        <w:t xml:space="preserve">• </w:t>
      </w:r>
      <w:r>
        <w:t>OPEN-02 — Final artist revenue-allocation basis/formula (pending accountant confirmation).</w:t>
      </w:r>
    </w:p>
    <w:p>
      <w:r>
        <w:rPr>
          <w:b/>
        </w:rPr>
        <w:t xml:space="preserve">• </w:t>
      </w:r>
      <w:r>
        <w:t>OPEN-03 — Exact service-master rows requiring two artists.</w:t>
      </w:r>
    </w:p>
    <w:p>
      <w:r>
        <w:rPr>
          <w:b/>
        </w:rPr>
        <w:t xml:space="preserve">• </w:t>
      </w:r>
      <w:r>
        <w:t>OPEN-04 — Exact high-risk service list and final legal consent wording.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B85C7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293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