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小组成员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944"/>
        <w:gridCol w:w="1181"/>
        <w:gridCol w:w="2002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学院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github账号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仓库链接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龚思宇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202013131134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自动化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backla</w:t>
            </w:r>
          </w:p>
        </w:tc>
        <w:tc>
          <w:tcPr>
            <w:tcW w:w="2330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https://github.com/backla/Trigonometric-Calculator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李明慧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202013131055t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自动化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liuxianzhishou</w:t>
            </w:r>
          </w:p>
        </w:tc>
        <w:tc>
          <w:tcPr>
            <w:tcW w:w="233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吴轩光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20201201003z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通信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LyxxWu</w:t>
            </w:r>
          </w:p>
        </w:tc>
        <w:tc>
          <w:tcPr>
            <w:tcW w:w="233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王林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202008131113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光电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miaaaaaaaaao</w:t>
            </w:r>
          </w:p>
        </w:tc>
        <w:tc>
          <w:tcPr>
            <w:tcW w:w="2330" w:type="dxa"/>
            <w:vMerge w:val="continue"/>
          </w:tcPr>
          <w:p/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开发软件：QT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完成效果图：</w:t>
      </w:r>
    </w:p>
    <w:p>
      <w:r>
        <w:drawing>
          <wp:inline distT="0" distB="0" distL="114300" distR="114300">
            <wp:extent cx="5269865" cy="48342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</w:rPr>
        <w:t>需求分析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对计算器进行需求分析，可以分解为以下模块：</w:t>
      </w: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1.1 显示模块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采用QT设计基于对话框的显示程序，该程序分为两部分的显示模块。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左半部分显示以下6行*4列的内容：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第一行为显示模块，显示输入数据和相应结果；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第二行只有一个Clear按钮，按下后进行清除功能；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第三行-第六行显示按钮，包括阿拉伯数字、三角函数操作部分，具体包括数字“0”-“9”，小数点“.”，负号“-”，以及“sin”、“cos”、“arcsin”、“arctan”。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右半部分显示对四个三角函数的测试结果。</w:t>
      </w: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1.2 操作部分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1.2.1 常规数字部分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按下数字“0-9”、小数点“.”、负号“-”后，可以在显示框中显示按下的内容，之前按下的数字部分也会得到保存。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例如，初始化后当按下“2”后，显示框中显示“2”，之后再按下“.”，则显示框中此时显示“2.”。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1.2.2 Clear操作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按下该按钮后，显示框内容清空。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1.2.3 计算部分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1.2.3.1 Sin函数操作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按下sin按钮后，显示框中对按下sin按钮前的数据进行求正弦操作，数入为角度值，QString类型，输出为QString类型数据。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例如，按下“3”和“0”后，此时显示框中显示“30”，再按下“sin”按钮后，显示框中显示“30°(sin)=0.5”，表示对30°进行sin操作，结果为0.5。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1.2.3.2 Cos函数操作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按下cos按钮后，显示框中对按下cos按钮前的数据进行求余弦操作，数入为角度值，QString类型，输出为QString类型数据。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例如，按下“-”、“6”和“0”后，此时显示框中显示“-60”，再按下“cos”按钮后，显示框中显示“-60°(cos)=0.5”，表示对-60°进行cos操作，结果为0.5。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1.2.3.3 Arcsin函数操作</w:t>
      </w:r>
    </w:p>
    <w:p>
      <w:pPr>
        <w:ind w:firstLine="480" w:firstLineChars="200"/>
        <w:rPr>
          <w:rFonts w:ascii="Times New Roman" w:hAnsi="Times New Roman"/>
        </w:rPr>
      </w:pPr>
      <w:bookmarkStart w:id="0" w:name="_Hlk75424654"/>
      <w:r>
        <w:rPr>
          <w:rFonts w:hint="eastAsia" w:ascii="Times New Roman" w:hAnsi="Times New Roman"/>
        </w:rPr>
        <w:t>按下arcsin按钮后，显示框中对按下arcsin按钮前的数据进行求反正弦操作，数入为QString类型，输出为QString类型角度值。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例如，按下“0”、“.”和“8”后，此时显示框中显示“0.8”，再按下“arcsin”按钮后，显示框中显示“0.8(arcsin)= 53.1301°”，表示对0.8进行arcsin操作，结果为53.1301°。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当输入超范时，显示error，例如，求2.9的反正弦，显示框中输出为“2.9(arcsin)=error!”</w:t>
      </w:r>
    </w:p>
    <w:bookmarkEnd w:id="0"/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1.2.3.4 Arctan函数操作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按下arctan按钮后，显示框中对按下arctan按钮前的数据进行求反正切操作，数入为QString类型，输出为QString类型角度值。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例如，按下“0”、“.”和“8”后，此时显示框中显示“0.8”，再按下“arctan”按钮后，显示框中显示“0.8(arctan)=38.6598°”，表示对0.8进行arctan操作，结果为38.6598°。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1.2.3 Test操作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按下该按钮后，右侧显示框显示各个函数不同测试的测试结果。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</w:rPr>
        <w:t>系统设计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根据需求分析，结合功能对其进行功能分解，主要分为界面主函数和四个三角函数的调用部分。主要包括以下五个类：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CalYh类为界面类，主要负责基本功能的实现，包括按钮输入和显示，以及对三角函数的调用，以及测试部分；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Sin类为实现sin函数功能，通过泰勒展开得到，被CalYh类调用；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Cos类为实现cos函数功能，通过泰勒展开得到，被CalYh类调用；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(4) Arcsin类实现arcsin函数功能，通过泰勒展开得到，被CalYh类调用；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(5) Arctan类实现arctan函数功能，通过泰勒展开得到，被CalYh类调用。</w:t>
      </w: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2.1 CalYh类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2.1.1 CalYh类简述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CalYh类的类型：普通类；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CalYh类的设计目的和作用：主要负责基本功能的实现，包括按钮输入和显示，以及对三角函数的调用；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CalYh类的纵向关系：该类调用了以下四个类：Sin类、Cos类、Arcsin类、Arctan类。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2.1.2 CalYh类的属性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24"/>
        <w:gridCol w:w="1374"/>
        <w:gridCol w:w="1299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79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2233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sClear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ool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判断当前是否要清空数据内容，t</w:t>
            </w:r>
            <w:r>
              <w:rPr>
                <w:rFonts w:ascii="Times New Roman" w:hAnsi="Times New Roman"/>
              </w:rPr>
              <w:t>ure</w:t>
            </w:r>
            <w:r>
              <w:rPr>
                <w:rFonts w:hint="eastAsia" w:ascii="Times New Roman" w:hAnsi="Times New Roman"/>
              </w:rPr>
              <w:t>表示清空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保存及显示左侧对话框中的字符串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sRit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保存及显示右侧对话框中的字符串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inFun</w:t>
            </w: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in*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调用S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osFun</w:t>
            </w: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os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调用C</w:t>
            </w:r>
            <w:r>
              <w:rPr>
                <w:rFonts w:ascii="Times New Roman" w:hAnsi="Times New Roman"/>
              </w:rPr>
              <w:t>os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rcsin</w:t>
            </w:r>
            <w:r>
              <w:rPr>
                <w:rFonts w:hint="eastAsia" w:ascii="Times New Roman" w:hAnsi="Times New Roman"/>
              </w:rPr>
              <w:t>Test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ArcSin *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</w:t>
            </w:r>
            <w:r>
              <w:rPr>
                <w:rFonts w:ascii="Times New Roman" w:hAnsi="Times New Roman"/>
              </w:rPr>
              <w:t>ArcSin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79" w:type="pct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rctan</w:t>
            </w:r>
            <w:r>
              <w:rPr>
                <w:rFonts w:hint="eastAsia" w:ascii="Times New Roman" w:hAnsi="Times New Roman"/>
              </w:rPr>
              <w:t>Test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rctan</w:t>
            </w:r>
          </w:p>
        </w:tc>
        <w:tc>
          <w:tcPr>
            <w:tcW w:w="223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调用A</w:t>
            </w:r>
            <w:r>
              <w:rPr>
                <w:rFonts w:ascii="Times New Roman" w:hAnsi="Times New Roman"/>
              </w:rPr>
              <w:t>rctan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</w:tbl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2.1.3 CalYh类的操作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ayout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oid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进行界面控件的布局，设置其位置和大小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estAll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QString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进行三角函数的功能测试，打印测试结果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输入参数描述：无</w:t>
      </w: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2.2 Sin类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2.2.1 Sin类简述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Sin类的类型：普通类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Sin类的设计目的和作用：主要负责实现sin函数功能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Sin类的纵向关系：该类被CalYh类调用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2.2.2 Sin类的属性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2.2.3 Sin类的操作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SinTest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ublic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实现sin函数功能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输入参数描述：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3483"/>
        <w:gridCol w:w="140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sIn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输入的角度值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输出参数描述：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ans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输出的sin值</w:t>
            </w:r>
          </w:p>
        </w:tc>
      </w:tr>
    </w:tbl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2.3 Cos类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2.3.1 Cos类简述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Cos类的类型：普通类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Cos类的设计目的和作用：主要负责实现cos函数功能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Cos类的纵向关系：该类被CalYh类调用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2.3.2 Cos类的属性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spacing w:before="0" w:after="0"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2.3.3 Cos类的操作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可访问性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CinTest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ublic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实现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cos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函数功能</w:t>
            </w:r>
          </w:p>
        </w:tc>
      </w:tr>
    </w:tbl>
    <w:p>
      <w:pPr>
        <w:ind w:firstLine="480" w:firstLineChars="20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(1) 输入参数描述：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3483"/>
        <w:gridCol w:w="140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sIn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QString类型数据取值范围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QString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输入的角度值</w:t>
            </w:r>
          </w:p>
        </w:tc>
      </w:tr>
    </w:tbl>
    <w:p>
      <w:pPr>
        <w:ind w:firstLine="480" w:firstLineChars="20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(2) 输出参数描述：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ans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QString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输出的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cos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</w:tr>
    </w:tbl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2.4 Arcsin类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2.4.1 Arcsin类简述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Arcsin类的类型：普通类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Arcsin类的设计目的和作用：主要负责实现arcsin函数功能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Arcsin类的纵向关系：该类被CalYh类调用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2.4.2 Arcsin类的属性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2.4.3 Arcsin类的操作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71"/>
        <w:gridCol w:w="1495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098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87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214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</w:t>
            </w:r>
            <w:r>
              <w:rPr>
                <w:rFonts w:hint="eastAsia" w:ascii="Times New Roman" w:hAnsi="Times New Roman"/>
              </w:rPr>
              <w:t>sinTest</w:t>
            </w:r>
          </w:p>
        </w:tc>
        <w:tc>
          <w:tcPr>
            <w:tcW w:w="1098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ublic</w:t>
            </w:r>
          </w:p>
        </w:tc>
        <w:tc>
          <w:tcPr>
            <w:tcW w:w="87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2214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实现ar</w:t>
            </w:r>
            <w:r>
              <w:rPr>
                <w:rFonts w:ascii="Times New Roman" w:hAnsi="Times New Roman"/>
              </w:rPr>
              <w:t>csin</w:t>
            </w:r>
            <w:r>
              <w:rPr>
                <w:rFonts w:hint="eastAsia" w:ascii="Times New Roman" w:hAnsi="Times New Roman"/>
              </w:rPr>
              <w:t>函数功能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输入参数描述：</w:t>
      </w:r>
    </w:p>
    <w:tbl>
      <w:tblPr>
        <w:tblStyle w:val="1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007"/>
        <w:gridCol w:w="1704"/>
        <w:gridCol w:w="1705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591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00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100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816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1" w:type="pct"/>
          </w:tcPr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591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sIn</w:t>
            </w:r>
          </w:p>
        </w:tc>
        <w:tc>
          <w:tcPr>
            <w:tcW w:w="100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100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1816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输入的反正弦的值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输出参数描述：</w:t>
      </w:r>
    </w:p>
    <w:tbl>
      <w:tblPr>
        <w:tblStyle w:val="1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801"/>
        <w:gridCol w:w="3407"/>
        <w:gridCol w:w="1355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47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99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795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264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pct"/>
          </w:tcPr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470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ans</w:t>
            </w:r>
          </w:p>
        </w:tc>
        <w:tc>
          <w:tcPr>
            <w:tcW w:w="199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795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1264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输出的ar</w:t>
            </w:r>
            <w:r>
              <w:rPr>
                <w:rFonts w:ascii="Times New Roman" w:hAnsi="Times New Roman"/>
              </w:rPr>
              <w:t>csin</w:t>
            </w:r>
            <w:r>
              <w:rPr>
                <w:rFonts w:hint="eastAsia" w:ascii="Times New Roman" w:hAnsi="Times New Roman"/>
              </w:rPr>
              <w:t>值</w:t>
            </w:r>
          </w:p>
        </w:tc>
      </w:tr>
    </w:tbl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2.5 Arctan类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2.5.1 Arctan类简述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Arctan类的类型：普通类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Arctan类的设计目的和作用：主要负责实现arctan函数功能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 Arctan类的纵向关系：该类被CalYh类调用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2.5.2 Arctan类的属性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2.5.3 Arctan类的操作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rctan</w:t>
            </w:r>
            <w:r>
              <w:rPr>
                <w:rFonts w:hint="eastAsia" w:ascii="Times New Roman" w:hAnsi="Times New Roman"/>
              </w:rPr>
              <w:t>Test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ublic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实现</w:t>
            </w:r>
            <w:r>
              <w:rPr>
                <w:rFonts w:ascii="Times New Roman" w:hAnsi="Times New Roman"/>
              </w:rPr>
              <w:t>arctan</w:t>
            </w:r>
            <w:r>
              <w:rPr>
                <w:rFonts w:hint="eastAsia" w:ascii="Times New Roman" w:hAnsi="Times New Roman"/>
              </w:rPr>
              <w:t>函数功能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 输入参数描述：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3483"/>
        <w:gridCol w:w="140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pStyle w:val="12"/>
              <w:numPr>
                <w:ilvl w:val="0"/>
                <w:numId w:val="9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sIn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输入的反正切的值</w:t>
            </w:r>
          </w:p>
        </w:tc>
      </w:tr>
    </w:tbl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 输出参数描述：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2"/>
              <w:numPr>
                <w:ilvl w:val="0"/>
                <w:numId w:val="10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ans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QString类型数据取值范围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QString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输出的</w:t>
            </w:r>
            <w:r>
              <w:rPr>
                <w:rFonts w:ascii="Times New Roman" w:hAnsi="Times New Roman"/>
              </w:rPr>
              <w:t>arctan</w:t>
            </w:r>
            <w:r>
              <w:rPr>
                <w:rFonts w:hint="eastAsia" w:ascii="Times New Roman" w:hAnsi="Times New Roman"/>
              </w:rPr>
              <w:t>值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</w:rPr>
        <w:t>功能测试</w:t>
      </w: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3.1 sin函数功能测试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3.1.1 负数测试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本程序效果如图所示：</w:t>
      </w:r>
    </w:p>
    <w:p>
      <w:pPr>
        <w:jc w:val="center"/>
      </w:pPr>
      <w:r>
        <w:drawing>
          <wp:inline distT="0" distB="0" distL="114300" distR="114300">
            <wp:extent cx="5269230" cy="3867150"/>
            <wp:effectExtent l="0" t="0" r="762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正确结果如图所示：</w:t>
      </w:r>
    </w:p>
    <w:p>
      <w:pPr>
        <w:jc w:val="center"/>
      </w:pPr>
      <w:r>
        <w:drawing>
          <wp:inline distT="0" distB="0" distL="114300" distR="114300">
            <wp:extent cx="5273675" cy="3966845"/>
            <wp:effectExtent l="0" t="0" r="3175" b="1460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测试无误。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3.1.2 0°测试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本项目输出结果如下，可以看出，测试无误。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3.1.3 正数测试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本程序效果如图所示：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正确结果如图所示：</w:t>
      </w:r>
    </w:p>
    <w:p>
      <w:pPr>
        <w:jc w:val="center"/>
      </w:pPr>
      <w:r>
        <w:drawing>
          <wp:inline distT="0" distB="0" distL="114300" distR="114300">
            <wp:extent cx="5269230" cy="3669665"/>
            <wp:effectExtent l="0" t="0" r="7620" b="698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3.1.4 异常值测试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本程序效果如图所示：</w:t>
      </w:r>
    </w:p>
    <w:p>
      <w:r>
        <w:drawing>
          <wp:inline distT="0" distB="0" distL="114300" distR="114300">
            <wp:extent cx="5273040" cy="3889375"/>
            <wp:effectExtent l="0" t="0" r="3810" b="15875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经验证，测试无误。</w:t>
      </w:r>
    </w:p>
    <w:p>
      <w:pPr>
        <w:pStyle w:val="3"/>
        <w:spacing w:before="0" w:after="0" w:line="360" w:lineRule="auto"/>
        <w:rPr>
          <w:rFonts w:ascii="Times New Roman" w:hAnsi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3.2 cos函数测试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3.2.1 负数测试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本程序效果如图所示：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正确结果如图所示：</w:t>
      </w:r>
    </w:p>
    <w:p>
      <w:pPr>
        <w:jc w:val="center"/>
      </w:pPr>
      <w:r>
        <w:drawing>
          <wp:inline distT="0" distB="0" distL="114300" distR="114300">
            <wp:extent cx="5273675" cy="3928110"/>
            <wp:effectExtent l="0" t="0" r="3175" b="1524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测试无误。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3.2.2 0°测试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本项目输出结果如下，可以看出，测试无误。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3.2.3 正数测试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本程序效果如图所示：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正确结果如图所示：</w:t>
      </w:r>
    </w:p>
    <w:p>
      <w:pPr>
        <w:jc w:val="center"/>
      </w:pPr>
      <w:r>
        <w:drawing>
          <wp:inline distT="0" distB="0" distL="114300" distR="114300">
            <wp:extent cx="5272405" cy="3940175"/>
            <wp:effectExtent l="0" t="0" r="4445" b="317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3.2.4 异常值测试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本程序效果如图所示：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经验证，测试无误。</w:t>
      </w:r>
    </w:p>
    <w:p>
      <w:pPr>
        <w:rPr>
          <w:rFonts w:ascii="Times New Roman" w:hAnsi="Times New Roman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3.3 arcsin函数测试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3.3.1 取值范围内负数测试</w:t>
      </w:r>
    </w:p>
    <w:p>
      <w:pPr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73040" cy="3889375"/>
            <wp:effectExtent l="0" t="0" r="3810" b="1587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网络结果为：</w:t>
      </w:r>
    </w:p>
    <w:p>
      <w:pPr>
        <w:jc w:val="center"/>
      </w:pPr>
      <w:r>
        <w:drawing>
          <wp:inline distT="0" distB="0" distL="114300" distR="114300">
            <wp:extent cx="5271135" cy="2541905"/>
            <wp:effectExtent l="0" t="0" r="5715" b="10795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经验证，输出无误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3.3.2 0°测试</w:t>
      </w:r>
    </w:p>
    <w:p>
      <w:pPr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73040" cy="3889375"/>
            <wp:effectExtent l="0" t="0" r="3810" b="1587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73040" cy="2846070"/>
            <wp:effectExtent l="0" t="0" r="3810" b="1143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3.3.3 取值范围内正数测试</w:t>
      </w:r>
    </w:p>
    <w:p>
      <w:pPr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73040" cy="3889375"/>
            <wp:effectExtent l="0" t="0" r="3810" b="1587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274310" cy="2762885"/>
            <wp:effectExtent l="0" t="0" r="2540" b="18415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3.3.4 异常值测试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3.3.4 取值范围外异常值测试</w:t>
      </w:r>
    </w:p>
    <w:p>
      <w:pPr>
        <w:ind w:firstLine="480" w:firstLineChars="200"/>
        <w:rPr>
          <w:rFonts w:ascii="Times New Roman" w:hAnsi="Times New Roman"/>
        </w:rPr>
      </w:pPr>
      <w:r>
        <w:drawing>
          <wp:inline distT="0" distB="0" distL="114300" distR="114300">
            <wp:extent cx="5273040" cy="3889375"/>
            <wp:effectExtent l="0" t="0" r="3810" b="1587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ind w:firstLine="480" w:firstLineChars="200"/>
        <w:rPr>
          <w:rFonts w:ascii="Times New Roman" w:hAnsi="Times New Roman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3.4 arctan测试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3.4.1 负数测试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2995295"/>
            <wp:effectExtent l="0" t="0" r="6985" b="1460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3.4.2 0测试</w:t>
      </w:r>
    </w:p>
    <w:p>
      <w:pPr>
        <w:jc w:val="center"/>
      </w:pPr>
      <w:r>
        <w:drawing>
          <wp:inline distT="0" distB="0" distL="114300" distR="114300">
            <wp:extent cx="5273040" cy="3889375"/>
            <wp:effectExtent l="0" t="0" r="3810" b="15875"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2976245"/>
            <wp:effectExtent l="0" t="0" r="5080" b="14605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ind w:firstLine="480" w:firstLineChars="200"/>
        <w:rPr>
          <w:rFonts w:ascii="Times New Roman" w:hAnsi="Times New Roman"/>
        </w:rPr>
      </w:pP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3.4.3 正数测试</w:t>
      </w:r>
    </w:p>
    <w:p>
      <w:pPr>
        <w:ind w:firstLine="480" w:firstLineChars="200"/>
        <w:rPr>
          <w:rFonts w:ascii="Times New Roman" w:hAnsi="Times New Roman"/>
        </w:rPr>
      </w:pPr>
      <w:r>
        <w:drawing>
          <wp:inline distT="0" distB="0" distL="114300" distR="114300">
            <wp:extent cx="5273040" cy="3889375"/>
            <wp:effectExtent l="0" t="0" r="3810" b="15875"/>
            <wp:docPr id="5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drawing>
          <wp:inline distT="0" distB="0" distL="114300" distR="114300">
            <wp:extent cx="5268595" cy="2856230"/>
            <wp:effectExtent l="0" t="0" r="8255" b="1270"/>
            <wp:docPr id="5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经验证，测试结果无误。</w:t>
      </w:r>
    </w:p>
    <w:p>
      <w:pPr>
        <w:ind w:firstLine="480" w:firstLineChars="200"/>
        <w:rPr>
          <w:rFonts w:ascii="Times New Roman" w:hAnsi="Times New Roman"/>
        </w:rPr>
      </w:pPr>
    </w:p>
    <w:p>
      <w:pPr>
        <w:pStyle w:val="4"/>
        <w:spacing w:before="0" w:after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3.4.4 异常值测试</w:t>
      </w:r>
    </w:p>
    <w:p>
      <w:pPr>
        <w:ind w:firstLine="480" w:firstLineChars="200"/>
        <w:rPr>
          <w:rFonts w:ascii="Times New Roman" w:hAnsi="Times New Roman"/>
        </w:rPr>
      </w:pPr>
      <w:r>
        <w:drawing>
          <wp:inline distT="0" distB="0" distL="114300" distR="114300">
            <wp:extent cx="5273040" cy="3889375"/>
            <wp:effectExtent l="0" t="0" r="3810" b="15875"/>
            <wp:docPr id="5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</w:rPr>
        <w:t>3.5 整体测试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本系统针对前面的测试用例，将本系统的运算结果与通过math库得到的结果进行对比，当两者误差在0.01以内时，认为输出结果无误。</w:t>
      </w:r>
    </w:p>
    <w:p>
      <w:pPr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具体操作为：点击右侧的“Test”按钮，则对以上测试用例进行测试，并打印测试结果。测试结果如下所示：</w:t>
      </w:r>
    </w:p>
    <w:p>
      <w:pPr>
        <w:ind w:firstLine="480" w:firstLineChars="200"/>
      </w:pPr>
      <w:r>
        <w:drawing>
          <wp:inline distT="0" distB="0" distL="114300" distR="114300">
            <wp:extent cx="5273040" cy="4936490"/>
            <wp:effectExtent l="0" t="0" r="3810" b="16510"/>
            <wp:docPr id="5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可以看出，本系统的三角函数计算均通过了不同情况下的测试。</w:t>
      </w:r>
    </w:p>
    <w:p>
      <w:pPr>
        <w:ind w:firstLine="480" w:firstLineChars="200"/>
        <w:rPr>
          <w:rFonts w:ascii="Times New Roman" w:hAnsi="Times New Roman"/>
        </w:rPr>
      </w:pPr>
    </w:p>
    <w:p>
      <w:pPr>
        <w:ind w:firstLine="480" w:firstLineChars="200"/>
        <w:rPr>
          <w:rFonts w:ascii="Times New Roman" w:hAnsi="Times New Roman"/>
        </w:rPr>
      </w:pPr>
    </w:p>
    <w:p>
      <w:pPr>
        <w:ind w:firstLine="480" w:firstLineChars="200"/>
        <w:rPr>
          <w:rFonts w:ascii="Times New Roman" w:hAnsi="Times New Roman"/>
        </w:rPr>
      </w:pPr>
    </w:p>
    <w:p>
      <w:pPr>
        <w:jc w:val="center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347"/>
    <w:multiLevelType w:val="multilevel"/>
    <w:tmpl w:val="0BF86347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F4880"/>
    <w:multiLevelType w:val="multilevel"/>
    <w:tmpl w:val="0E7F488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D2C83"/>
    <w:multiLevelType w:val="multilevel"/>
    <w:tmpl w:val="1F8D2C8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8772A"/>
    <w:multiLevelType w:val="multilevel"/>
    <w:tmpl w:val="3578772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395C10"/>
    <w:multiLevelType w:val="multilevel"/>
    <w:tmpl w:val="3E395C1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C5D3B"/>
    <w:multiLevelType w:val="multilevel"/>
    <w:tmpl w:val="404C5D3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69850BB"/>
    <w:multiLevelType w:val="multilevel"/>
    <w:tmpl w:val="569850B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A549EC"/>
    <w:multiLevelType w:val="multilevel"/>
    <w:tmpl w:val="59A549E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EF4862"/>
    <w:multiLevelType w:val="multilevel"/>
    <w:tmpl w:val="61EF486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3C3D43"/>
    <w:multiLevelType w:val="multilevel"/>
    <w:tmpl w:val="7D3C3D4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B9"/>
    <w:rsid w:val="000336B9"/>
    <w:rsid w:val="000568D4"/>
    <w:rsid w:val="000B4D9B"/>
    <w:rsid w:val="001C30B3"/>
    <w:rsid w:val="00205B79"/>
    <w:rsid w:val="0031241C"/>
    <w:rsid w:val="003266D2"/>
    <w:rsid w:val="0034692F"/>
    <w:rsid w:val="0044656B"/>
    <w:rsid w:val="004872AC"/>
    <w:rsid w:val="004B410B"/>
    <w:rsid w:val="004D0D6A"/>
    <w:rsid w:val="00547C7E"/>
    <w:rsid w:val="007A507F"/>
    <w:rsid w:val="009956CE"/>
    <w:rsid w:val="009A6A69"/>
    <w:rsid w:val="00B158F1"/>
    <w:rsid w:val="00B41875"/>
    <w:rsid w:val="00BB47BF"/>
    <w:rsid w:val="00C10EC8"/>
    <w:rsid w:val="00D136CA"/>
    <w:rsid w:val="00D84A33"/>
    <w:rsid w:val="00E24023"/>
    <w:rsid w:val="00EC7E5F"/>
    <w:rsid w:val="00EE762A"/>
    <w:rsid w:val="00F06350"/>
    <w:rsid w:val="0A483594"/>
    <w:rsid w:val="0CF42D33"/>
    <w:rsid w:val="0F1548E4"/>
    <w:rsid w:val="19A546FD"/>
    <w:rsid w:val="2F154108"/>
    <w:rsid w:val="2F866053"/>
    <w:rsid w:val="34E45DEF"/>
    <w:rsid w:val="3DF3613C"/>
    <w:rsid w:val="3E310E09"/>
    <w:rsid w:val="454B3607"/>
    <w:rsid w:val="471D29A8"/>
    <w:rsid w:val="49121F1E"/>
    <w:rsid w:val="540B4E1C"/>
    <w:rsid w:val="55217773"/>
    <w:rsid w:val="6412547F"/>
    <w:rsid w:val="748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666</Words>
  <Characters>3800</Characters>
  <Lines>31</Lines>
  <Paragraphs>8</Paragraphs>
  <TotalTime>10</TotalTime>
  <ScaleCrop>false</ScaleCrop>
  <LinksUpToDate>false</LinksUpToDate>
  <CharactersWithSpaces>4458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2021-06-24T02:18:00Z</dcterms:created>
  <dc:creator>蒼 六弦之首</dc:creator>
  <cp:lastModifiedBy>罒东京街头孤傲的背影</cp:lastModifiedBy>
  <dcterms:modified xsi:type="dcterms:W3CDTF">2021-06-29T16:28:54Z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  <property fmtid="{D5CDD505-2E9C-101B-9397-08002B2CF9AE}" pid="3" name="ICV">
    <vt:lpwstr>1EBB122B316842D192A7EA23DA6887AC</vt:lpwstr>
  </property>
</Properties>
</file>