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Kicker"/>
      </w:pPr>
      <w:r>
        <w:t xml:space="preserve">HC Trader</w:t>
      </w:r>
    </w:p>
    <w:p>
      <w:pPr>
        <w:pStyle w:val="CoverTitle"/>
      </w:pPr>
      <w:r>
        <w:t xml:space="preserve">App Marketing Overview</w:t>
      </w:r>
    </w:p>
    <w:p>
      <w:pPr>
        <w:pStyle w:val="CoverSubtitle"/>
      </w:pPr>
      <w:r>
        <w:t xml:space="preserve">A complete trading operations platform for teams, traders and growth workflows.</w:t>
      </w:r>
    </w:p>
    <w:tbl>
      <w:tblPr>
        <w:tblW w:w="9360" w:type="dxa"/>
        <w:tblInd w:w="120" w:type="dxa"/>
        <w:tblBorders>
          <w:top w:val="single" w:sz="8" w:color="CFE8E2"/>
          <w:left w:val="single" w:sz="8" w:color="CFE8E2"/>
          <w:bottom w:val="single" w:sz="8" w:color="CFE8E2"/>
          <w:right w:val="single" w:sz="8" w:color="CFE8E2"/>
        </w:tblBorders>
      </w:tblPr>
      <w:tblGrid>
        <w:gridCol w:w="9360"/>
      </w:tblGrid>
      <w:tr>
        <w:tc>
          <w:tcPr>
            <w:tcW w:w="9360" w:type="dxa"/>
            <w:shd w:fill="F4FBF8"/>
            <w:tcMar>
              <w:top w:w="180" w:type="dxa"/>
              <w:bottom w:w="180" w:type="dxa"/>
              <w:start w:w="220" w:type="dxa"/>
              <w:end w:w="220" w:type="dxa"/>
            </w:tcMar>
          </w:tcPr>
          <w:p>
            <w:pPr>
              <w:pStyle w:val="CalloutTitle"/>
            </w:pPr>
            <w:r>
              <w:t xml:space="preserve">Product promise</w:t>
            </w:r>
          </w:p>
          <w:p>
            <w:pPr>
              <w:pStyle w:val="CalloutText"/>
            </w:pPr>
            <w:r>
              <w:t xml:space="preserve">HC Trader brings secure access, trader workflows, education content, operational management and team growth tools into one streamlined mobile experience.</w:t>
            </w:r>
          </w:p>
        </w:tc>
      </w:tr>
    </w:tbl>
    <w:p>
      <w:pPr>
        <w:pStyle w:val="Meta"/>
      </w:pPr>
      <w:r>
        <w:t xml:space="preserve">Generated date: 2026-06-28</w:t>
      </w:r>
    </w:p>
    <w:p>
      <w:pPr>
        <w:pStyle w:val="Meta"/>
      </w:pPr>
      <w:r>
        <w:t xml:space="preserve">Project/repository: mobile/hc_trader</w:t>
      </w:r>
    </w:p>
    <w:p>
      <w:r>
        <w:br w:type="page"/>
      </w:r>
    </w:p>
    <w:p>
      <w:pPr>
        <w:pStyle w:val="Heading1"/>
      </w:pPr>
      <w:r>
        <w:t xml:space="preserve">Executive Summary</w:t>
      </w:r>
    </w:p>
    <w:p>
      <w:r>
        <w:t xml:space="preserve">HC Trader is a Firebase-backed Flutter application designed to bring trading operations, trader support, education content, user management and growth workflows into one mobile platform. It gives traders a focused workspace for journals, accounts, learning, exams, tools and support, while giving administrators and operations teams a central place to manage users, content, verification, reviews, appointments, support tickets and performance activity.</w:t>
      </w:r>
    </w:p>
    <w:p>
      <w:r>
        <w:t xml:space="preserve">The strongest value is consolidation. HC Trader combines multiple business needs into one connected product experience: secure access, trading tools, market content, referrals, support, notifications and administration.</w:t>
      </w:r>
    </w:p>
    <w:p>
      <w:pPr>
        <w:pStyle w:val="Heading1"/>
      </w:pPr>
      <w:r>
        <w:t xml:space="preserve">Product Positioning</w:t>
      </w:r>
    </w:p>
    <w:p>
      <w:r>
        <w:t xml:space="preserve">HC Trader can be positioned as an all-in-one trading operations and trader engagement platform. It is broader than a journal and more practical than a simple admin panel. It helps manage the people, content, support workflows and performance activity around a trading community or trading-focused organization.</w:t>
      </w:r>
    </w:p>
    <w:tbl>
      <w:tblPr>
        <w:tblW w:w="9360" w:type="dxa"/>
        <w:tblInd w:w="120" w:type="dxa"/>
        <w:tblBorders>
          <w:top w:val="single" w:sz="8" w:color="CFE8E2"/>
          <w:left w:val="single" w:sz="8" w:color="CFE8E2"/>
          <w:bottom w:val="single" w:sz="8" w:color="CFE8E2"/>
          <w:right w:val="single" w:sz="8" w:color="CFE8E2"/>
        </w:tblBorders>
      </w:tblPr>
      <w:tblGrid>
        <w:gridCol w:w="9360"/>
      </w:tblGrid>
      <w:tr>
        <w:tc>
          <w:tcPr>
            <w:tcW w:w="9360" w:type="dxa"/>
            <w:shd w:fill="F4FBF8"/>
            <w:tcMar>
              <w:top w:w="180" w:type="dxa"/>
              <w:bottom w:w="180" w:type="dxa"/>
              <w:start w:w="220" w:type="dxa"/>
              <w:end w:w="220" w:type="dxa"/>
            </w:tcMar>
          </w:tcPr>
          <w:p>
            <w:pPr>
              <w:pStyle w:val="CalloutTitle"/>
            </w:pPr>
            <w:r>
              <w:t xml:space="preserve">Positioning line</w:t>
            </w:r>
          </w:p>
          <w:p>
            <w:pPr>
              <w:pStyle w:val="CalloutText"/>
            </w:pPr>
            <w:r>
              <w:t xml:space="preserve">A complete trading operations platform for teams, traders and growth workflows.</w:t>
            </w:r>
          </w:p>
        </w:tc>
      </w:tr>
    </w:tbl>
    <w:p>
      <w:pPr>
        <w:pStyle w:val="Heading1"/>
      </w:pPr>
      <w:r>
        <w:t xml:space="preserve">Key Value Propositions</w:t>
      </w:r>
    </w:p>
    <w:p>
      <w:pPr>
        <w:numPr>
          <w:ilvl w:val="0"/>
          <w:numId w:val="1"/>
        </w:numPr>
        <w:spacing w:after="80" w:line="290" w:lineRule="auto"/>
      </w:pPr>
      <w:r>
        <w:t xml:space="preserve">Centralized operations across users, trading workflows, content and support.</w:t>
      </w:r>
    </w:p>
    <w:p>
      <w:pPr>
        <w:numPr>
          <w:ilvl w:val="0"/>
          <w:numId w:val="1"/>
        </w:numPr>
        <w:spacing w:after="80" w:line="290" w:lineRule="auto"/>
      </w:pPr>
      <w:r>
        <w:t xml:space="preserve">Improved trader experience through one mobile workspace instead of scattered tools.</w:t>
      </w:r>
    </w:p>
    <w:p>
      <w:pPr>
        <w:numPr>
          <w:ilvl w:val="0"/>
          <w:numId w:val="1"/>
        </w:numPr>
        <w:spacing w:after="80" w:line="290" w:lineRule="auto"/>
      </w:pPr>
      <w:r>
        <w:t xml:space="preserve">Better visibility into journals, progress, exams, prop firm readiness and performance.</w:t>
      </w:r>
    </w:p>
    <w:p>
      <w:pPr>
        <w:numPr>
          <w:ilvl w:val="0"/>
          <w:numId w:val="1"/>
        </w:numPr>
        <w:spacing w:after="80" w:line="290" w:lineRule="auto"/>
      </w:pPr>
      <w:r>
        <w:t xml:space="preserve">Scalable growth support through referral codes, invite flows and downline records.</w:t>
      </w:r>
    </w:p>
    <w:p>
      <w:pPr>
        <w:numPr>
          <w:ilvl w:val="0"/>
          <w:numId w:val="1"/>
        </w:numPr>
        <w:spacing w:after="80" w:line="290" w:lineRule="auto"/>
      </w:pPr>
      <w:r>
        <w:t xml:space="preserve">Cleaner team coordination with role-aware administration and publisher workspaces.</w:t>
      </w:r>
    </w:p>
    <w:p>
      <w:pPr>
        <w:numPr>
          <w:ilvl w:val="0"/>
          <w:numId w:val="1"/>
        </w:numPr>
        <w:spacing w:after="80" w:line="290" w:lineRule="auto"/>
      </w:pPr>
      <w:r>
        <w:t xml:space="preserve">Multilingual accessibility for English and Chinese users.</w:t>
      </w:r>
    </w:p>
    <w:p>
      <w:pPr>
        <w:numPr>
          <w:ilvl w:val="0"/>
          <w:numId w:val="1"/>
        </w:numPr>
        <w:spacing w:after="80" w:line="290" w:lineRule="auto"/>
      </w:pPr>
      <w:r>
        <w:t xml:space="preserve">Stronger follow-up through notifications, ticket updates and appointment workflows.</w:t>
      </w:r>
    </w:p>
    <w:p>
      <w:pPr>
        <w:numPr>
          <w:ilvl w:val="0"/>
          <w:numId w:val="1"/>
        </w:numPr>
        <w:spacing w:after="80" w:line="290" w:lineRule="auto"/>
      </w:pPr>
      <w:r>
        <w:t xml:space="preserve">More organized governance through feature toggles, audit logs and review queues.</w:t>
      </w:r>
    </w:p>
    <w:p>
      <w:pPr>
        <w:pStyle w:val="Heading1"/>
      </w:pPr>
      <w:r>
        <w:t xml:space="preserve">Core Features Overview</w:t>
      </w:r>
    </w:p>
    <w:p>
      <w:pPr>
        <w:pStyle w:val="Heading2"/>
      </w:pPr>
      <w:r>
        <w:t xml:space="preserve">Multi-role operations</w:t>
      </w:r>
    </w:p>
    <w:p>
      <w:r>
        <w:t xml:space="preserve">Built for admins, traders, recruiters, analysts and signal teams. Keeps business workflows organized by user responsibility.</w:t>
      </w:r>
    </w:p>
    <w:p>
      <w:pPr>
        <w:pStyle w:val="Heading2"/>
      </w:pPr>
      <w:r>
        <w:t xml:space="preserve">Journal and insights</w:t>
      </w:r>
    </w:p>
    <w:p>
      <w:r>
        <w:t xml:space="preserve">Track trades, review results and turn activity into performance visibility. Turns daily trading activity into clearer progress tracking.</w:t>
      </w:r>
    </w:p>
    <w:p>
      <w:pPr>
        <w:pStyle w:val="Heading2"/>
      </w:pPr>
      <w:r>
        <w:t xml:space="preserve">Trading hub</w:t>
      </w:r>
    </w:p>
    <w:p>
      <w:r>
        <w:t xml:space="preserve">Central space for signals, analysis, learning content, exams and resources. Makes trading content easier to publish, discover and consume.</w:t>
      </w:r>
    </w:p>
    <w:p>
      <w:pPr>
        <w:pStyle w:val="Heading2"/>
      </w:pPr>
      <w:r>
        <w:t xml:space="preserve">Verification and control</w:t>
      </w:r>
    </w:p>
    <w:p>
      <w:r>
        <w:t xml:space="preserve">Support onboarding, account review, role management and operational governance. Improves trust, review control and operational follow-up.</w:t>
      </w:r>
    </w:p>
    <w:p>
      <w:pPr>
        <w:pStyle w:val="Heading2"/>
      </w:pPr>
      <w:r>
        <w:t xml:space="preserve">Referral growth engine</w:t>
      </w:r>
    </w:p>
    <w:p>
      <w:r>
        <w:t xml:space="preserve">Invite traders and lead clients through structured downline workflows. Supports scalable user acquisition through structured invites.</w:t>
      </w:r>
    </w:p>
    <w:p>
      <w:pPr>
        <w:pStyle w:val="Heading2"/>
      </w:pPr>
      <w:r>
        <w:t xml:space="preserve">Bilingual experience</w:t>
      </w:r>
    </w:p>
    <w:p>
      <w:r>
        <w:t xml:space="preserve">English and Chinese UI support with dynamic content translation tooling. Expands usability for multilingual teams and clients.</w:t>
      </w:r>
    </w:p>
    <w:p>
      <w:pPr>
        <w:pStyle w:val="Heading1"/>
      </w:pPr>
      <w:r>
        <w:t xml:space="preserve">Target Users and User Groups</w:t>
      </w:r>
    </w:p>
    <w:tbl>
      <w:tblPr>
        <w:tblW w:w="9360" w:type="dxa"/>
        <w:tblInd w:w="120" w:type="dxa"/>
        <w:tblBorders>
          <w:top w:val="single" w:sz="4" w:color="D8DEE6"/>
          <w:left w:val="single" w:sz="4" w:color="D8DEE6"/>
          <w:bottom w:val="single" w:sz="4" w:color="D8DEE6"/>
          <w:right w:val="single" w:sz="4" w:color="D8DEE6"/>
          <w:insideH w:val="single" w:sz="4" w:color="E7EBF0"/>
          <w:insideV w:val="single" w:sz="4" w:color="E7EBF0"/>
        </w:tblBorders>
        <w:tblLayout w:type="fixed"/>
      </w:tblPr>
      <w:tblGrid>
        <w:gridCol w:w="2100"/>
        <w:gridCol w:w="3300"/>
        <w:gridCol w:w="3960"/>
      </w:tblGrid>
      <w:tr>
        <w:tc>
          <w:tcPr>
            <w:tcW w:w="2100" w:type="dxa"/>
            <w:shd w:fill="F4F6F9"/>
            <w:tcMar>
              <w:top w:w="100" w:type="dxa"/>
              <w:bottom w:w="100" w:type="dxa"/>
              <w:start w:w="140" w:type="dxa"/>
              <w:end w:w="140" w:type="dxa"/>
            </w:tcMar>
          </w:tcPr>
          <w:p>
            <w:pPr>
              <w:pStyle w:val="TableHeader"/>
            </w:pPr>
            <w:r>
              <w:t xml:space="preserve">User group</w:t>
            </w:r>
          </w:p>
        </w:tc>
        <w:tc>
          <w:tcPr>
            <w:tcW w:w="3300" w:type="dxa"/>
            <w:shd w:fill="F4F6F9"/>
            <w:tcMar>
              <w:top w:w="100" w:type="dxa"/>
              <w:bottom w:w="100" w:type="dxa"/>
              <w:start w:w="140" w:type="dxa"/>
              <w:end w:w="140" w:type="dxa"/>
            </w:tcMar>
          </w:tcPr>
          <w:p>
            <w:pPr>
              <w:pStyle w:val="TableHeader"/>
            </w:pPr>
            <w:r>
              <w:t xml:space="preserve">Main needs</w:t>
            </w:r>
          </w:p>
        </w:tc>
        <w:tc>
          <w:tcPr>
            <w:tcW w:w="3960" w:type="dxa"/>
            <w:shd w:fill="F4F6F9"/>
            <w:tcMar>
              <w:top w:w="100" w:type="dxa"/>
              <w:bottom w:w="100" w:type="dxa"/>
              <w:start w:w="140" w:type="dxa"/>
              <w:end w:w="140" w:type="dxa"/>
            </w:tcMar>
          </w:tcPr>
          <w:p>
            <w:pPr>
              <w:pStyle w:val="TableHeader"/>
            </w:pPr>
            <w:r>
              <w:t xml:space="preserve">How HC Trader helps</w:t>
            </w:r>
          </w:p>
        </w:tc>
      </w:tr>
      <w:tr>
        <w:tc>
          <w:tcPr>
            <w:tcW w:w="2100" w:type="dxa"/>
            <w:tcMar>
              <w:top w:w="100" w:type="dxa"/>
              <w:bottom w:w="100" w:type="dxa"/>
              <w:start w:w="140" w:type="dxa"/>
              <w:end w:w="140" w:type="dxa"/>
            </w:tcMar>
          </w:tcPr>
          <w:p>
            <w:pPr>
              <w:pStyle w:val="TableText"/>
            </w:pPr>
            <w:r>
              <w:t xml:space="preserve">Admin teams</w:t>
            </w:r>
          </w:p>
        </w:tc>
        <w:tc>
          <w:tcPr>
            <w:tcW w:w="3300" w:type="dxa"/>
            <w:tcMar>
              <w:top w:w="100" w:type="dxa"/>
              <w:bottom w:w="100" w:type="dxa"/>
              <w:start w:w="140" w:type="dxa"/>
              <w:end w:w="140" w:type="dxa"/>
            </w:tcMar>
          </w:tcPr>
          <w:p>
            <w:pPr>
              <w:pStyle w:val="TableText"/>
            </w:pPr>
            <w:r>
              <w:t xml:space="preserve">Control users, modules, verification, content and operational workflows.</w:t>
            </w:r>
          </w:p>
        </w:tc>
        <w:tc>
          <w:tcPr>
            <w:tcW w:w="3960" w:type="dxa"/>
            <w:tcMar>
              <w:top w:w="100" w:type="dxa"/>
              <w:bottom w:w="100" w:type="dxa"/>
              <w:start w:w="140" w:type="dxa"/>
              <w:end w:w="140" w:type="dxa"/>
            </w:tcMar>
          </w:tcPr>
          <w:p>
            <w:pPr>
              <w:pStyle w:val="TableText"/>
            </w:pPr>
            <w:r>
              <w:t xml:space="preserve">HC Trader gives admins a central workspace for oversight, review queues and feature control.</w:t>
            </w:r>
          </w:p>
        </w:tc>
      </w:tr>
      <w:tr>
        <w:tc>
          <w:tcPr>
            <w:tcW w:w="2100" w:type="dxa"/>
            <w:tcMar>
              <w:top w:w="100" w:type="dxa"/>
              <w:bottom w:w="100" w:type="dxa"/>
              <w:start w:w="140" w:type="dxa"/>
              <w:end w:w="140" w:type="dxa"/>
            </w:tcMar>
          </w:tcPr>
          <w:p>
            <w:pPr>
              <w:pStyle w:val="TableText"/>
            </w:pPr>
            <w:r>
              <w:t xml:space="preserve">Trading leaders and recruiters</w:t>
            </w:r>
          </w:p>
        </w:tc>
        <w:tc>
          <w:tcPr>
            <w:tcW w:w="3300" w:type="dxa"/>
            <w:tcMar>
              <w:top w:w="100" w:type="dxa"/>
              <w:bottom w:w="100" w:type="dxa"/>
              <w:start w:w="140" w:type="dxa"/>
              <w:end w:w="140" w:type="dxa"/>
            </w:tcMar>
          </w:tcPr>
          <w:p>
            <w:pPr>
              <w:pStyle w:val="TableText"/>
            </w:pPr>
            <w:r>
              <w:t xml:space="preserve">Grow trader networks while keeping invitation paths organized.</w:t>
            </w:r>
          </w:p>
        </w:tc>
        <w:tc>
          <w:tcPr>
            <w:tcW w:w="3960" w:type="dxa"/>
            <w:tcMar>
              <w:top w:w="100" w:type="dxa"/>
              <w:bottom w:w="100" w:type="dxa"/>
              <w:start w:w="140" w:type="dxa"/>
              <w:end w:w="140" w:type="dxa"/>
            </w:tcMar>
          </w:tcPr>
          <w:p>
            <w:pPr>
              <w:pStyle w:val="TableText"/>
            </w:pPr>
            <w:r>
              <w:t xml:space="preserve">Referral and downline features support structured growth without losing visibility.</w:t>
            </w:r>
          </w:p>
        </w:tc>
      </w:tr>
      <w:tr>
        <w:tc>
          <w:tcPr>
            <w:tcW w:w="2100" w:type="dxa"/>
            <w:tcMar>
              <w:top w:w="100" w:type="dxa"/>
              <w:bottom w:w="100" w:type="dxa"/>
              <w:start w:w="140" w:type="dxa"/>
              <w:end w:w="140" w:type="dxa"/>
            </w:tcMar>
          </w:tcPr>
          <w:p>
            <w:pPr>
              <w:pStyle w:val="TableText"/>
            </w:pPr>
            <w:r>
              <w:t xml:space="preserve">Traders and lead clients</w:t>
            </w:r>
          </w:p>
        </w:tc>
        <w:tc>
          <w:tcPr>
            <w:tcW w:w="3300" w:type="dxa"/>
            <w:tcMar>
              <w:top w:w="100" w:type="dxa"/>
              <w:bottom w:w="100" w:type="dxa"/>
              <w:start w:w="140" w:type="dxa"/>
              <w:end w:w="140" w:type="dxa"/>
            </w:tcMar>
          </w:tcPr>
          <w:p>
            <w:pPr>
              <w:pStyle w:val="TableText"/>
            </w:pPr>
            <w:r>
              <w:t xml:space="preserve">Track progress, access resources, complete exams and get support.</w:t>
            </w:r>
          </w:p>
        </w:tc>
        <w:tc>
          <w:tcPr>
            <w:tcW w:w="3960" w:type="dxa"/>
            <w:tcMar>
              <w:top w:w="100" w:type="dxa"/>
              <w:bottom w:w="100" w:type="dxa"/>
              <w:start w:w="140" w:type="dxa"/>
              <w:end w:w="140" w:type="dxa"/>
            </w:tcMar>
          </w:tcPr>
          <w:p>
            <w:pPr>
              <w:pStyle w:val="TableText"/>
            </w:pPr>
            <w:r>
              <w:t xml:space="preserve">The app combines journal tools, education content, account workflows and support in one mobile flow.</w:t>
            </w:r>
          </w:p>
        </w:tc>
      </w:tr>
      <w:tr>
        <w:tc>
          <w:tcPr>
            <w:tcW w:w="2100" w:type="dxa"/>
            <w:tcMar>
              <w:top w:w="100" w:type="dxa"/>
              <w:bottom w:w="100" w:type="dxa"/>
              <w:start w:w="140" w:type="dxa"/>
              <w:end w:w="140" w:type="dxa"/>
            </w:tcMar>
          </w:tcPr>
          <w:p>
            <w:pPr>
              <w:pStyle w:val="TableText"/>
            </w:pPr>
            <w:r>
              <w:t xml:space="preserve">Market analysts and signal teams</w:t>
            </w:r>
          </w:p>
        </w:tc>
        <w:tc>
          <w:tcPr>
            <w:tcW w:w="3300" w:type="dxa"/>
            <w:tcMar>
              <w:top w:w="100" w:type="dxa"/>
              <w:bottom w:w="100" w:type="dxa"/>
              <w:start w:w="140" w:type="dxa"/>
              <w:end w:w="140" w:type="dxa"/>
            </w:tcMar>
          </w:tcPr>
          <w:p>
            <w:pPr>
              <w:pStyle w:val="TableText"/>
            </w:pPr>
            <w:r>
              <w:t xml:space="preserve">Publish timely trading content to the right audience.</w:t>
            </w:r>
          </w:p>
        </w:tc>
        <w:tc>
          <w:tcPr>
            <w:tcW w:w="3960" w:type="dxa"/>
            <w:tcMar>
              <w:top w:w="100" w:type="dxa"/>
              <w:bottom w:w="100" w:type="dxa"/>
              <w:start w:w="140" w:type="dxa"/>
              <w:end w:w="140" w:type="dxa"/>
            </w:tcMar>
          </w:tcPr>
          <w:p>
            <w:pPr>
              <w:pStyle w:val="TableText"/>
            </w:pPr>
            <w:r>
              <w:t xml:space="preserve">Publisher workspaces support market analysis and signal delivery with notification support.</w:t>
            </w:r>
          </w:p>
        </w:tc>
      </w:tr>
      <w:tr>
        <w:tc>
          <w:tcPr>
            <w:tcW w:w="2100" w:type="dxa"/>
            <w:tcMar>
              <w:top w:w="100" w:type="dxa"/>
              <w:bottom w:w="100" w:type="dxa"/>
              <w:start w:w="140" w:type="dxa"/>
              <w:end w:w="140" w:type="dxa"/>
            </w:tcMar>
          </w:tcPr>
          <w:p>
            <w:pPr>
              <w:pStyle w:val="TableText"/>
            </w:pPr>
            <w:r>
              <w:t xml:space="preserve">Support and operations staff</w:t>
            </w:r>
          </w:p>
        </w:tc>
        <w:tc>
          <w:tcPr>
            <w:tcW w:w="3300" w:type="dxa"/>
            <w:tcMar>
              <w:top w:w="100" w:type="dxa"/>
              <w:bottom w:w="100" w:type="dxa"/>
              <w:start w:w="140" w:type="dxa"/>
              <w:end w:w="140" w:type="dxa"/>
            </w:tcMar>
          </w:tcPr>
          <w:p>
            <w:pPr>
              <w:pStyle w:val="TableText"/>
            </w:pPr>
            <w:r>
              <w:t xml:space="preserve">Handle verification, tickets, appointments and workflow follow-up.</w:t>
            </w:r>
          </w:p>
        </w:tc>
        <w:tc>
          <w:tcPr>
            <w:tcW w:w="3960" w:type="dxa"/>
            <w:tcMar>
              <w:top w:w="100" w:type="dxa"/>
              <w:bottom w:w="100" w:type="dxa"/>
              <w:start w:w="140" w:type="dxa"/>
              <w:end w:w="140" w:type="dxa"/>
            </w:tcMar>
          </w:tcPr>
          <w:p>
            <w:pPr>
              <w:pStyle w:val="TableText"/>
            </w:pPr>
            <w:r>
              <w:t xml:space="preserve">Support, appointment and admin review modules make service activity easier to track.</w:t>
            </w:r>
          </w:p>
        </w:tc>
      </w:tr>
    </w:tbl>
    <w:p>
      <w:pPr>
        <w:pStyle w:val="Heading1"/>
      </w:pPr>
      <w:r>
        <w:t xml:space="preserve">Module Highlights</w:t>
      </w:r>
    </w:p>
    <w:tbl>
      <w:tblPr>
        <w:tblW w:w="9360" w:type="dxa"/>
        <w:tblInd w:w="120" w:type="dxa"/>
        <w:tblBorders>
          <w:top w:val="single" w:sz="4" w:color="D8DEE6"/>
          <w:left w:val="single" w:sz="4" w:color="D8DEE6"/>
          <w:bottom w:val="single" w:sz="4" w:color="D8DEE6"/>
          <w:right w:val="single" w:sz="4" w:color="D8DEE6"/>
          <w:insideH w:val="single" w:sz="4" w:color="E7EBF0"/>
          <w:insideV w:val="single" w:sz="4" w:color="E7EBF0"/>
        </w:tblBorders>
        <w:tblLayout w:type="fixed"/>
      </w:tblPr>
      <w:tblGrid>
        <w:gridCol w:w="2200"/>
        <w:gridCol w:w="3700"/>
        <w:gridCol w:w="3460"/>
      </w:tblGrid>
      <w:tr>
        <w:tc>
          <w:tcPr>
            <w:tcW w:w="2200" w:type="dxa"/>
            <w:shd w:fill="F4F6F9"/>
            <w:tcMar>
              <w:top w:w="100" w:type="dxa"/>
              <w:bottom w:w="100" w:type="dxa"/>
              <w:start w:w="140" w:type="dxa"/>
              <w:end w:w="140" w:type="dxa"/>
            </w:tcMar>
          </w:tcPr>
          <w:p>
            <w:pPr>
              <w:pStyle w:val="TableHeader"/>
            </w:pPr>
            <w:r>
              <w:t xml:space="preserve">Module</w:t>
            </w:r>
          </w:p>
        </w:tc>
        <w:tc>
          <w:tcPr>
            <w:tcW w:w="3700" w:type="dxa"/>
            <w:shd w:fill="F4F6F9"/>
            <w:tcMar>
              <w:top w:w="100" w:type="dxa"/>
              <w:bottom w:w="100" w:type="dxa"/>
              <w:start w:w="140" w:type="dxa"/>
              <w:end w:w="140" w:type="dxa"/>
            </w:tcMar>
          </w:tcPr>
          <w:p>
            <w:pPr>
              <w:pStyle w:val="TableHeader"/>
            </w:pPr>
            <w:r>
              <w:t xml:space="preserve">User value</w:t>
            </w:r>
          </w:p>
        </w:tc>
        <w:tc>
          <w:tcPr>
            <w:tcW w:w="3460" w:type="dxa"/>
            <w:shd w:fill="F4F6F9"/>
            <w:tcMar>
              <w:top w:w="100" w:type="dxa"/>
              <w:bottom w:w="100" w:type="dxa"/>
              <w:start w:w="140" w:type="dxa"/>
              <w:end w:w="140" w:type="dxa"/>
            </w:tcMar>
          </w:tcPr>
          <w:p>
            <w:pPr>
              <w:pStyle w:val="TableHeader"/>
            </w:pPr>
            <w:r>
              <w:t xml:space="preserve">Business value</w:t>
            </w:r>
          </w:p>
        </w:tc>
      </w:tr>
      <w:tr>
        <w:tc>
          <w:tcPr>
            <w:tcW w:w="2200" w:type="dxa"/>
            <w:tcMar>
              <w:top w:w="100" w:type="dxa"/>
              <w:bottom w:w="100" w:type="dxa"/>
              <w:start w:w="140" w:type="dxa"/>
              <w:end w:w="140" w:type="dxa"/>
            </w:tcMar>
          </w:tcPr>
          <w:p>
            <w:pPr>
              <w:pStyle w:val="TableText"/>
            </w:pPr>
            <w:r>
              <w:t xml:space="preserve">Secure onboarding</w:t>
            </w:r>
          </w:p>
        </w:tc>
        <w:tc>
          <w:tcPr>
            <w:tcW w:w="3700" w:type="dxa"/>
            <w:tcMar>
              <w:top w:w="100" w:type="dxa"/>
              <w:bottom w:w="100" w:type="dxa"/>
              <w:start w:w="140" w:type="dxa"/>
              <w:end w:w="140" w:type="dxa"/>
            </w:tcMar>
          </w:tcPr>
          <w:p>
            <w:pPr>
              <w:pStyle w:val="TableText"/>
            </w:pPr>
            <w:r>
              <w:t xml:space="preserve">Sign in, registration, password reset and referral-aware account creation.</w:t>
            </w:r>
          </w:p>
        </w:tc>
        <w:tc>
          <w:tcPr>
            <w:tcW w:w="3460" w:type="dxa"/>
            <w:tcMar>
              <w:top w:w="100" w:type="dxa"/>
              <w:bottom w:w="100" w:type="dxa"/>
              <w:start w:w="140" w:type="dxa"/>
              <w:end w:w="140" w:type="dxa"/>
            </w:tcMar>
          </w:tcPr>
          <w:p>
            <w:pPr>
              <w:pStyle w:val="TableText"/>
            </w:pPr>
            <w:r>
              <w:t xml:space="preserve">Reduces friction while keeping account creation structured.</w:t>
            </w:r>
          </w:p>
        </w:tc>
      </w:tr>
      <w:tr>
        <w:tc>
          <w:tcPr>
            <w:tcW w:w="2200" w:type="dxa"/>
            <w:tcMar>
              <w:top w:w="100" w:type="dxa"/>
              <w:bottom w:w="100" w:type="dxa"/>
              <w:start w:w="140" w:type="dxa"/>
              <w:end w:w="140" w:type="dxa"/>
            </w:tcMar>
          </w:tcPr>
          <w:p>
            <w:pPr>
              <w:pStyle w:val="TableText"/>
            </w:pPr>
            <w:r>
              <w:t xml:space="preserve">Admin command center</w:t>
            </w:r>
          </w:p>
        </w:tc>
        <w:tc>
          <w:tcPr>
            <w:tcW w:w="3700" w:type="dxa"/>
            <w:tcMar>
              <w:top w:w="100" w:type="dxa"/>
              <w:bottom w:w="100" w:type="dxa"/>
              <w:start w:w="140" w:type="dxa"/>
              <w:end w:w="140" w:type="dxa"/>
            </w:tcMar>
          </w:tcPr>
          <w:p>
            <w:pPr>
              <w:pStyle w:val="TableText"/>
            </w:pPr>
            <w:r>
              <w:t xml:space="preserve">Manage users, modules, reviews, content, features, audit logs and competitions.</w:t>
            </w:r>
          </w:p>
        </w:tc>
        <w:tc>
          <w:tcPr>
            <w:tcW w:w="3460" w:type="dxa"/>
            <w:tcMar>
              <w:top w:w="100" w:type="dxa"/>
              <w:bottom w:w="100" w:type="dxa"/>
              <w:start w:w="140" w:type="dxa"/>
              <w:end w:w="140" w:type="dxa"/>
            </w:tcMar>
          </w:tcPr>
          <w:p>
            <w:pPr>
              <w:pStyle w:val="TableText"/>
            </w:pPr>
            <w:r>
              <w:t xml:space="preserve">Improves control, governance and day-to-day platform management.</w:t>
            </w:r>
          </w:p>
        </w:tc>
      </w:tr>
      <w:tr>
        <w:tc>
          <w:tcPr>
            <w:tcW w:w="2200" w:type="dxa"/>
            <w:tcMar>
              <w:top w:w="100" w:type="dxa"/>
              <w:bottom w:w="100" w:type="dxa"/>
              <w:start w:w="140" w:type="dxa"/>
              <w:end w:w="140" w:type="dxa"/>
            </w:tcMar>
          </w:tcPr>
          <w:p>
            <w:pPr>
              <w:pStyle w:val="TableText"/>
            </w:pPr>
            <w:r>
              <w:t xml:space="preserve">Trading journal</w:t>
            </w:r>
          </w:p>
        </w:tc>
        <w:tc>
          <w:tcPr>
            <w:tcW w:w="3700" w:type="dxa"/>
            <w:tcMar>
              <w:top w:w="100" w:type="dxa"/>
              <w:bottom w:w="100" w:type="dxa"/>
              <w:start w:w="140" w:type="dxa"/>
              <w:end w:w="140" w:type="dxa"/>
            </w:tcMar>
          </w:tcPr>
          <w:p>
            <w:pPr>
              <w:pStyle w:val="TableText"/>
            </w:pPr>
            <w:r>
              <w:t xml:space="preserve">Capture trades, attachments, imports and performance history in one place.</w:t>
            </w:r>
          </w:p>
        </w:tc>
        <w:tc>
          <w:tcPr>
            <w:tcW w:w="3460" w:type="dxa"/>
            <w:tcMar>
              <w:top w:w="100" w:type="dxa"/>
              <w:bottom w:w="100" w:type="dxa"/>
              <w:start w:w="140" w:type="dxa"/>
              <w:end w:w="140" w:type="dxa"/>
            </w:tcMar>
          </w:tcPr>
          <w:p>
            <w:pPr>
              <w:pStyle w:val="TableText"/>
            </w:pPr>
            <w:r>
              <w:t xml:space="preserve">Creates better performance visibility for traders and reviewers.</w:t>
            </w:r>
          </w:p>
        </w:tc>
      </w:tr>
      <w:tr>
        <w:tc>
          <w:tcPr>
            <w:tcW w:w="2200" w:type="dxa"/>
            <w:tcMar>
              <w:top w:w="100" w:type="dxa"/>
              <w:bottom w:w="100" w:type="dxa"/>
              <w:start w:w="140" w:type="dxa"/>
              <w:end w:w="140" w:type="dxa"/>
            </w:tcMar>
          </w:tcPr>
          <w:p>
            <w:pPr>
              <w:pStyle w:val="TableText"/>
            </w:pPr>
            <w:r>
              <w:t xml:space="preserve">Dashboard and reports</w:t>
            </w:r>
          </w:p>
        </w:tc>
        <w:tc>
          <w:tcPr>
            <w:tcW w:w="3700" w:type="dxa"/>
            <w:tcMar>
              <w:top w:w="100" w:type="dxa"/>
              <w:bottom w:w="100" w:type="dxa"/>
              <w:start w:w="140" w:type="dxa"/>
              <w:end w:w="140" w:type="dxa"/>
            </w:tcMar>
          </w:tcPr>
          <w:p>
            <w:pPr>
              <w:pStyle w:val="TableText"/>
            </w:pPr>
            <w:r>
              <w:t xml:space="preserve">Give traders and teams clearer visibility into trading progress.</w:t>
            </w:r>
          </w:p>
        </w:tc>
        <w:tc>
          <w:tcPr>
            <w:tcW w:w="3460" w:type="dxa"/>
            <w:tcMar>
              <w:top w:w="100" w:type="dxa"/>
              <w:bottom w:w="100" w:type="dxa"/>
              <w:start w:w="140" w:type="dxa"/>
              <w:end w:w="140" w:type="dxa"/>
            </w:tcMar>
          </w:tcPr>
          <w:p>
            <w:pPr>
              <w:pStyle w:val="TableText"/>
            </w:pPr>
            <w:r>
              <w:t xml:space="preserve">Supports data-informed conversations and progress tracking.</w:t>
            </w:r>
          </w:p>
        </w:tc>
      </w:tr>
      <w:tr>
        <w:tc>
          <w:tcPr>
            <w:tcW w:w="2200" w:type="dxa"/>
            <w:tcMar>
              <w:top w:w="100" w:type="dxa"/>
              <w:bottom w:w="100" w:type="dxa"/>
              <w:start w:w="140" w:type="dxa"/>
              <w:end w:w="140" w:type="dxa"/>
            </w:tcMar>
          </w:tcPr>
          <w:p>
            <w:pPr>
              <w:pStyle w:val="TableText"/>
            </w:pPr>
            <w:r>
              <w:t xml:space="preserve">Trading hub</w:t>
            </w:r>
          </w:p>
        </w:tc>
        <w:tc>
          <w:tcPr>
            <w:tcW w:w="3700" w:type="dxa"/>
            <w:tcMar>
              <w:top w:w="100" w:type="dxa"/>
              <w:bottom w:w="100" w:type="dxa"/>
              <w:start w:w="140" w:type="dxa"/>
              <w:end w:w="140" w:type="dxa"/>
            </w:tcMar>
          </w:tcPr>
          <w:p>
            <w:pPr>
              <w:pStyle w:val="TableText"/>
            </w:pPr>
            <w:r>
              <w:t xml:space="preserve">Deliver market analysis, signals, blogs, recordings, knowledge and resources.</w:t>
            </w:r>
          </w:p>
        </w:tc>
        <w:tc>
          <w:tcPr>
            <w:tcW w:w="3460" w:type="dxa"/>
            <w:tcMar>
              <w:top w:w="100" w:type="dxa"/>
              <w:bottom w:w="100" w:type="dxa"/>
              <w:start w:w="140" w:type="dxa"/>
              <w:end w:w="140" w:type="dxa"/>
            </w:tcMar>
          </w:tcPr>
          <w:p>
            <w:pPr>
              <w:pStyle w:val="TableText"/>
            </w:pPr>
            <w:r>
              <w:t xml:space="preserve">Improves content delivery and engagement.</w:t>
            </w:r>
          </w:p>
        </w:tc>
      </w:tr>
      <w:tr>
        <w:tc>
          <w:tcPr>
            <w:tcW w:w="2200" w:type="dxa"/>
            <w:tcMar>
              <w:top w:w="100" w:type="dxa"/>
              <w:bottom w:w="100" w:type="dxa"/>
              <w:start w:w="140" w:type="dxa"/>
              <w:end w:w="140" w:type="dxa"/>
            </w:tcMar>
          </w:tcPr>
          <w:p>
            <w:pPr>
              <w:pStyle w:val="TableText"/>
            </w:pPr>
            <w:r>
              <w:t xml:space="preserve">Prop firm support</w:t>
            </w:r>
          </w:p>
        </w:tc>
        <w:tc>
          <w:tcPr>
            <w:tcW w:w="3700" w:type="dxa"/>
            <w:tcMar>
              <w:top w:w="100" w:type="dxa"/>
              <w:bottom w:w="100" w:type="dxa"/>
              <w:start w:w="140" w:type="dxa"/>
              <w:end w:w="140" w:type="dxa"/>
            </w:tcMar>
          </w:tcPr>
          <w:p>
            <w:pPr>
              <w:pStyle w:val="TableText"/>
            </w:pPr>
            <w:r>
              <w:t xml:space="preserve">Track phases, risk limits, targets, reviews and leaderboard readiness.</w:t>
            </w:r>
          </w:p>
        </w:tc>
        <w:tc>
          <w:tcPr>
            <w:tcW w:w="3460" w:type="dxa"/>
            <w:tcMar>
              <w:top w:w="100" w:type="dxa"/>
              <w:bottom w:w="100" w:type="dxa"/>
              <w:start w:w="140" w:type="dxa"/>
              <w:end w:w="140" w:type="dxa"/>
            </w:tcMar>
          </w:tcPr>
          <w:p>
            <w:pPr>
              <w:pStyle w:val="TableText"/>
            </w:pPr>
            <w:r>
              <w:t xml:space="preserve">Helps standardize funded-trader progress and review decisions.</w:t>
            </w:r>
          </w:p>
        </w:tc>
      </w:tr>
      <w:tr>
        <w:tc>
          <w:tcPr>
            <w:tcW w:w="2200" w:type="dxa"/>
            <w:tcMar>
              <w:top w:w="100" w:type="dxa"/>
              <w:bottom w:w="100" w:type="dxa"/>
              <w:start w:w="140" w:type="dxa"/>
              <w:end w:w="140" w:type="dxa"/>
            </w:tcMar>
          </w:tcPr>
          <w:p>
            <w:pPr>
              <w:pStyle w:val="TableText"/>
            </w:pPr>
            <w:r>
              <w:t xml:space="preserve">Readiness checklist</w:t>
            </w:r>
          </w:p>
        </w:tc>
        <w:tc>
          <w:tcPr>
            <w:tcW w:w="3700" w:type="dxa"/>
            <w:tcMar>
              <w:top w:w="100" w:type="dxa"/>
              <w:bottom w:w="100" w:type="dxa"/>
              <w:start w:w="140" w:type="dxa"/>
              <w:end w:w="140" w:type="dxa"/>
            </w:tcMar>
          </w:tcPr>
          <w:p>
            <w:pPr>
              <w:pStyle w:val="TableText"/>
            </w:pPr>
            <w:r>
              <w:t xml:space="preserve">Guide traders through preparation before live or funded progression.</w:t>
            </w:r>
          </w:p>
        </w:tc>
        <w:tc>
          <w:tcPr>
            <w:tcW w:w="3460" w:type="dxa"/>
            <w:tcMar>
              <w:top w:w="100" w:type="dxa"/>
              <w:bottom w:w="100" w:type="dxa"/>
              <w:start w:w="140" w:type="dxa"/>
              <w:end w:w="140" w:type="dxa"/>
            </w:tcMar>
          </w:tcPr>
          <w:p>
            <w:pPr>
              <w:pStyle w:val="TableText"/>
            </w:pPr>
            <w:r>
              <w:t xml:space="preserve">Encourages safer, more consistent trader preparation.</w:t>
            </w:r>
          </w:p>
        </w:tc>
      </w:tr>
      <w:tr>
        <w:tc>
          <w:tcPr>
            <w:tcW w:w="2200" w:type="dxa"/>
            <w:tcMar>
              <w:top w:w="100" w:type="dxa"/>
              <w:bottom w:w="100" w:type="dxa"/>
              <w:start w:w="140" w:type="dxa"/>
              <w:end w:w="140" w:type="dxa"/>
            </w:tcMar>
          </w:tcPr>
          <w:p>
            <w:pPr>
              <w:pStyle w:val="TableText"/>
            </w:pPr>
            <w:r>
              <w:t xml:space="preserve">Support desk</w:t>
            </w:r>
          </w:p>
        </w:tc>
        <w:tc>
          <w:tcPr>
            <w:tcW w:w="3700" w:type="dxa"/>
            <w:tcMar>
              <w:top w:w="100" w:type="dxa"/>
              <w:bottom w:w="100" w:type="dxa"/>
              <w:start w:w="140" w:type="dxa"/>
              <w:end w:w="140" w:type="dxa"/>
            </w:tcMar>
          </w:tcPr>
          <w:p>
            <w:pPr>
              <w:pStyle w:val="TableText"/>
            </w:pPr>
            <w:r>
              <w:t xml:space="preserve">Centralize tickets, conversations, attachments and staff follow-up.</w:t>
            </w:r>
          </w:p>
        </w:tc>
        <w:tc>
          <w:tcPr>
            <w:tcW w:w="3460" w:type="dxa"/>
            <w:tcMar>
              <w:top w:w="100" w:type="dxa"/>
              <w:bottom w:w="100" w:type="dxa"/>
              <w:start w:w="140" w:type="dxa"/>
              <w:end w:w="140" w:type="dxa"/>
            </w:tcMar>
          </w:tcPr>
          <w:p>
            <w:pPr>
              <w:pStyle w:val="TableText"/>
            </w:pPr>
            <w:r>
              <w:t xml:space="preserve">Improves responsiveness and accountability.</w:t>
            </w:r>
          </w:p>
        </w:tc>
      </w:tr>
      <w:tr>
        <w:tc>
          <w:tcPr>
            <w:tcW w:w="2200" w:type="dxa"/>
            <w:tcMar>
              <w:top w:w="100" w:type="dxa"/>
              <w:bottom w:w="100" w:type="dxa"/>
              <w:start w:w="140" w:type="dxa"/>
              <w:end w:w="140" w:type="dxa"/>
            </w:tcMar>
          </w:tcPr>
          <w:p>
            <w:pPr>
              <w:pStyle w:val="TableText"/>
            </w:pPr>
            <w:r>
              <w:t xml:space="preserve">Appointments</w:t>
            </w:r>
          </w:p>
        </w:tc>
        <w:tc>
          <w:tcPr>
            <w:tcW w:w="3700" w:type="dxa"/>
            <w:tcMar>
              <w:top w:w="100" w:type="dxa"/>
              <w:bottom w:w="100" w:type="dxa"/>
              <w:start w:w="140" w:type="dxa"/>
              <w:end w:w="140" w:type="dxa"/>
            </w:tcMar>
          </w:tcPr>
          <w:p>
            <w:pPr>
              <w:pStyle w:val="TableText"/>
            </w:pPr>
            <w:r>
              <w:t xml:space="preserve">Coordinate mentor or trading support sessions through bookings and approvals.</w:t>
            </w:r>
          </w:p>
        </w:tc>
        <w:tc>
          <w:tcPr>
            <w:tcW w:w="3460" w:type="dxa"/>
            <w:tcMar>
              <w:top w:w="100" w:type="dxa"/>
              <w:bottom w:w="100" w:type="dxa"/>
              <w:start w:w="140" w:type="dxa"/>
              <w:end w:w="140" w:type="dxa"/>
            </w:tcMar>
          </w:tcPr>
          <w:p>
            <w:pPr>
              <w:pStyle w:val="TableText"/>
            </w:pPr>
            <w:r>
              <w:t xml:space="preserve">Makes coaching or operational sessions easier to coordinate.</w:t>
            </w:r>
          </w:p>
        </w:tc>
      </w:tr>
      <w:tr>
        <w:tc>
          <w:tcPr>
            <w:tcW w:w="2200" w:type="dxa"/>
            <w:tcMar>
              <w:top w:w="100" w:type="dxa"/>
              <w:bottom w:w="100" w:type="dxa"/>
              <w:start w:w="140" w:type="dxa"/>
              <w:end w:w="140" w:type="dxa"/>
            </w:tcMar>
          </w:tcPr>
          <w:p>
            <w:pPr>
              <w:pStyle w:val="TableText"/>
            </w:pPr>
            <w:r>
              <w:t xml:space="preserve">Recruitment network</w:t>
            </w:r>
          </w:p>
        </w:tc>
        <w:tc>
          <w:tcPr>
            <w:tcW w:w="3700" w:type="dxa"/>
            <w:tcMar>
              <w:top w:w="100" w:type="dxa"/>
              <w:bottom w:w="100" w:type="dxa"/>
              <w:start w:w="140" w:type="dxa"/>
              <w:end w:w="140" w:type="dxa"/>
            </w:tcMar>
          </w:tcPr>
          <w:p>
            <w:pPr>
              <w:pStyle w:val="TableText"/>
            </w:pPr>
            <w:r>
              <w:t xml:space="preserve">Support referral codes, invites and downline visibility.</w:t>
            </w:r>
          </w:p>
        </w:tc>
        <w:tc>
          <w:tcPr>
            <w:tcW w:w="3460" w:type="dxa"/>
            <w:tcMar>
              <w:top w:w="100" w:type="dxa"/>
              <w:bottom w:w="100" w:type="dxa"/>
              <w:start w:w="140" w:type="dxa"/>
              <w:end w:w="140" w:type="dxa"/>
            </w:tcMar>
          </w:tcPr>
          <w:p>
            <w:pPr>
              <w:pStyle w:val="TableText"/>
            </w:pPr>
            <w:r>
              <w:t xml:space="preserve">Creates a scalable structure for user growth.</w:t>
            </w:r>
          </w:p>
        </w:tc>
      </w:tr>
      <w:tr>
        <w:tc>
          <w:tcPr>
            <w:tcW w:w="2200" w:type="dxa"/>
            <w:tcMar>
              <w:top w:w="100" w:type="dxa"/>
              <w:bottom w:w="100" w:type="dxa"/>
              <w:start w:w="140" w:type="dxa"/>
              <w:end w:w="140" w:type="dxa"/>
            </w:tcMar>
          </w:tcPr>
          <w:p>
            <w:pPr>
              <w:pStyle w:val="TableText"/>
            </w:pPr>
            <w:r>
              <w:t xml:space="preserve">Profile and settings</w:t>
            </w:r>
          </w:p>
        </w:tc>
        <w:tc>
          <w:tcPr>
            <w:tcW w:w="3700" w:type="dxa"/>
            <w:tcMar>
              <w:top w:w="100" w:type="dxa"/>
              <w:bottom w:w="100" w:type="dxa"/>
              <w:start w:w="140" w:type="dxa"/>
              <w:end w:w="140" w:type="dxa"/>
            </w:tcMar>
          </w:tcPr>
          <w:p>
            <w:pPr>
              <w:pStyle w:val="TableText"/>
            </w:pPr>
            <w:r>
              <w:t xml:space="preserve">Let users manage details, language, notifications and security.</w:t>
            </w:r>
          </w:p>
        </w:tc>
        <w:tc>
          <w:tcPr>
            <w:tcW w:w="3460" w:type="dxa"/>
            <w:tcMar>
              <w:top w:w="100" w:type="dxa"/>
              <w:bottom w:w="100" w:type="dxa"/>
              <w:start w:w="140" w:type="dxa"/>
              <w:end w:w="140" w:type="dxa"/>
            </w:tcMar>
          </w:tcPr>
          <w:p>
            <w:pPr>
              <w:pStyle w:val="TableText"/>
            </w:pPr>
            <w:r>
              <w:t xml:space="preserve">Improves account ownership and personalization.</w:t>
            </w:r>
          </w:p>
        </w:tc>
      </w:tr>
      <w:tr>
        <w:tc>
          <w:tcPr>
            <w:tcW w:w="2200" w:type="dxa"/>
            <w:tcMar>
              <w:top w:w="100" w:type="dxa"/>
              <w:bottom w:w="100" w:type="dxa"/>
              <w:start w:w="140" w:type="dxa"/>
              <w:end w:w="140" w:type="dxa"/>
            </w:tcMar>
          </w:tcPr>
          <w:p>
            <w:pPr>
              <w:pStyle w:val="TableText"/>
            </w:pPr>
            <w:r>
              <w:t xml:space="preserve">Notifications</w:t>
            </w:r>
          </w:p>
        </w:tc>
        <w:tc>
          <w:tcPr>
            <w:tcW w:w="3700" w:type="dxa"/>
            <w:tcMar>
              <w:top w:w="100" w:type="dxa"/>
              <w:bottom w:w="100" w:type="dxa"/>
              <w:start w:w="140" w:type="dxa"/>
              <w:end w:w="140" w:type="dxa"/>
            </w:tcMar>
          </w:tcPr>
          <w:p>
            <w:pPr>
              <w:pStyle w:val="TableText"/>
            </w:pPr>
            <w:r>
              <w:t xml:space="preserve">Keep users informed about signals, content, appointments, tickets and exam results.</w:t>
            </w:r>
          </w:p>
        </w:tc>
        <w:tc>
          <w:tcPr>
            <w:tcW w:w="3460" w:type="dxa"/>
            <w:tcMar>
              <w:top w:w="100" w:type="dxa"/>
              <w:bottom w:w="100" w:type="dxa"/>
              <w:start w:w="140" w:type="dxa"/>
              <w:end w:w="140" w:type="dxa"/>
            </w:tcMar>
          </w:tcPr>
          <w:p>
            <w:pPr>
              <w:pStyle w:val="TableText"/>
            </w:pPr>
            <w:r>
              <w:t xml:space="preserve">Supports retention and timely response.</w:t>
            </w:r>
          </w:p>
        </w:tc>
      </w:tr>
    </w:tbl>
    <w:p>
      <w:pPr>
        <w:pStyle w:val="Heading1"/>
      </w:pPr>
      <w:r>
        <w:t xml:space="preserve">App Experience and User Journey</w:t>
      </w:r>
    </w:p>
    <w:tbl>
      <w:tblPr>
        <w:tblW w:w="9360" w:type="dxa"/>
        <w:tblInd w:w="120" w:type="dxa"/>
        <w:tblBorders>
          <w:top w:val="single" w:sz="4" w:color="D8DEE6"/>
          <w:left w:val="single" w:sz="4" w:color="D8DEE6"/>
          <w:bottom w:val="single" w:sz="4" w:color="D8DEE6"/>
          <w:right w:val="single" w:sz="4" w:color="D8DEE6"/>
          <w:insideH w:val="single" w:sz="4" w:color="E7EBF0"/>
          <w:insideV w:val="single" w:sz="4" w:color="E7EBF0"/>
        </w:tblBorders>
        <w:tblLayout w:type="fixed"/>
      </w:tblPr>
      <w:tblGrid>
        <w:gridCol w:w="2200"/>
        <w:gridCol w:w="7160"/>
      </w:tblGrid>
      <w:tr>
        <w:tc>
          <w:tcPr>
            <w:tcW w:w="2200" w:type="dxa"/>
            <w:shd w:fill="F4F6F9"/>
            <w:tcMar>
              <w:top w:w="100" w:type="dxa"/>
              <w:bottom w:w="100" w:type="dxa"/>
              <w:start w:w="140" w:type="dxa"/>
              <w:end w:w="140" w:type="dxa"/>
            </w:tcMar>
          </w:tcPr>
          <w:p>
            <w:pPr>
              <w:pStyle w:val="TableHeader"/>
            </w:pPr>
            <w:r>
              <w:t xml:space="preserve">Journey</w:t>
            </w:r>
          </w:p>
        </w:tc>
        <w:tc>
          <w:tcPr>
            <w:tcW w:w="7160" w:type="dxa"/>
            <w:shd w:fill="F4F6F9"/>
            <w:tcMar>
              <w:top w:w="100" w:type="dxa"/>
              <w:bottom w:w="100" w:type="dxa"/>
              <w:start w:w="140" w:type="dxa"/>
              <w:end w:w="140" w:type="dxa"/>
            </w:tcMar>
          </w:tcPr>
          <w:p>
            <w:pPr>
              <w:pStyle w:val="TableHeader"/>
            </w:pPr>
            <w:r>
              <w:t xml:space="preserve">Marketing-friendly experience</w:t>
            </w:r>
          </w:p>
        </w:tc>
      </w:tr>
      <w:tr>
        <w:tc>
          <w:tcPr>
            <w:tcW w:w="2200" w:type="dxa"/>
            <w:tcMar>
              <w:top w:w="100" w:type="dxa"/>
              <w:bottom w:w="100" w:type="dxa"/>
              <w:start w:w="140" w:type="dxa"/>
              <w:end w:w="140" w:type="dxa"/>
            </w:tcMar>
          </w:tcPr>
          <w:p>
            <w:pPr>
              <w:pStyle w:val="TableText"/>
            </w:pPr>
            <w:r>
              <w:t xml:space="preserve">Getting started</w:t>
            </w:r>
          </w:p>
        </w:tc>
        <w:tc>
          <w:tcPr>
            <w:tcW w:w="7160" w:type="dxa"/>
            <w:tcMar>
              <w:top w:w="100" w:type="dxa"/>
              <w:bottom w:w="100" w:type="dxa"/>
              <w:start w:w="140" w:type="dxa"/>
              <w:end w:w="140" w:type="dxa"/>
            </w:tcMar>
          </w:tcPr>
          <w:p>
            <w:pPr>
              <w:pStyle w:val="TableText"/>
            </w:pPr>
            <w:r>
              <w:t xml:space="preserve">A new user registers or signs in, selects language and enters the app through secure account access.</w:t>
            </w:r>
          </w:p>
        </w:tc>
      </w:tr>
      <w:tr>
        <w:tc>
          <w:tcPr>
            <w:tcW w:w="2200" w:type="dxa"/>
            <w:tcMar>
              <w:top w:w="100" w:type="dxa"/>
              <w:bottom w:w="100" w:type="dxa"/>
              <w:start w:w="140" w:type="dxa"/>
              <w:end w:w="140" w:type="dxa"/>
            </w:tcMar>
          </w:tcPr>
          <w:p>
            <w:pPr>
              <w:pStyle w:val="TableText"/>
            </w:pPr>
            <w:r>
              <w:t xml:space="preserve">Trader experience</w:t>
            </w:r>
          </w:p>
        </w:tc>
        <w:tc>
          <w:tcPr>
            <w:tcW w:w="7160" w:type="dxa"/>
            <w:tcMar>
              <w:top w:w="100" w:type="dxa"/>
              <w:bottom w:w="100" w:type="dxa"/>
              <w:start w:w="140" w:type="dxa"/>
              <w:end w:w="140" w:type="dxa"/>
            </w:tcMar>
          </w:tcPr>
          <w:p>
            <w:pPr>
              <w:pStyle w:val="TableText"/>
            </w:pPr>
            <w:r>
              <w:t xml:space="preserve">Traders use the dashboard, journal, trading hub, tools, exams, accounts, support and appointments to manage daily progress.</w:t>
            </w:r>
          </w:p>
        </w:tc>
      </w:tr>
      <w:tr>
        <w:tc>
          <w:tcPr>
            <w:tcW w:w="2200" w:type="dxa"/>
            <w:tcMar>
              <w:top w:w="100" w:type="dxa"/>
              <w:bottom w:w="100" w:type="dxa"/>
              <w:start w:w="140" w:type="dxa"/>
              <w:end w:w="140" w:type="dxa"/>
            </w:tcMar>
          </w:tcPr>
          <w:p>
            <w:pPr>
              <w:pStyle w:val="TableText"/>
            </w:pPr>
            <w:r>
              <w:t xml:space="preserve">Admin operation</w:t>
            </w:r>
          </w:p>
        </w:tc>
        <w:tc>
          <w:tcPr>
            <w:tcW w:w="7160" w:type="dxa"/>
            <w:tcMar>
              <w:top w:w="100" w:type="dxa"/>
              <w:bottom w:w="100" w:type="dxa"/>
              <w:start w:w="140" w:type="dxa"/>
              <w:end w:w="140" w:type="dxa"/>
            </w:tcMar>
          </w:tcPr>
          <w:p>
            <w:pPr>
              <w:pStyle w:val="TableText"/>
            </w:pPr>
            <w:r>
              <w:t xml:space="preserve">Admins review users, verification, positions, content, features, performance and audit activity from a central command center.</w:t>
            </w:r>
          </w:p>
        </w:tc>
      </w:tr>
      <w:tr>
        <w:tc>
          <w:tcPr>
            <w:tcW w:w="2200" w:type="dxa"/>
            <w:tcMar>
              <w:top w:w="100" w:type="dxa"/>
              <w:bottom w:w="100" w:type="dxa"/>
              <w:start w:w="140" w:type="dxa"/>
              <w:end w:w="140" w:type="dxa"/>
            </w:tcMar>
          </w:tcPr>
          <w:p>
            <w:pPr>
              <w:pStyle w:val="TableText"/>
            </w:pPr>
            <w:r>
              <w:t xml:space="preserve">Publisher workflow</w:t>
            </w:r>
          </w:p>
        </w:tc>
        <w:tc>
          <w:tcPr>
            <w:tcW w:w="7160" w:type="dxa"/>
            <w:tcMar>
              <w:top w:w="100" w:type="dxa"/>
              <w:bottom w:w="100" w:type="dxa"/>
              <w:start w:w="140" w:type="dxa"/>
              <w:end w:w="140" w:type="dxa"/>
            </w:tcMar>
          </w:tcPr>
          <w:p>
            <w:pPr>
              <w:pStyle w:val="TableText"/>
            </w:pPr>
            <w:r>
              <w:t xml:space="preserve">Market analysts and signal providers publish timely content that can be surfaced in the trading hub and notifications.</w:t>
            </w:r>
          </w:p>
        </w:tc>
      </w:tr>
      <w:tr>
        <w:tc>
          <w:tcPr>
            <w:tcW w:w="2200" w:type="dxa"/>
            <w:tcMar>
              <w:top w:w="100" w:type="dxa"/>
              <w:bottom w:w="100" w:type="dxa"/>
              <w:start w:w="140" w:type="dxa"/>
              <w:end w:w="140" w:type="dxa"/>
            </w:tcMar>
          </w:tcPr>
          <w:p>
            <w:pPr>
              <w:pStyle w:val="TableText"/>
            </w:pPr>
            <w:r>
              <w:t xml:space="preserve">Growth workflow</w:t>
            </w:r>
          </w:p>
        </w:tc>
        <w:tc>
          <w:tcPr>
            <w:tcW w:w="7160" w:type="dxa"/>
            <w:tcMar>
              <w:top w:w="100" w:type="dxa"/>
              <w:bottom w:w="100" w:type="dxa"/>
              <w:start w:w="140" w:type="dxa"/>
              <w:end w:w="140" w:type="dxa"/>
            </w:tcMar>
          </w:tcPr>
          <w:p>
            <w:pPr>
              <w:pStyle w:val="TableText"/>
            </w:pPr>
            <w:r>
              <w:t xml:space="preserve">Recruiters, leaders and eligible users use referral codes and downline views to support organized expansion.</w:t>
            </w:r>
          </w:p>
        </w:tc>
      </w:tr>
      <w:tr>
        <w:tc>
          <w:tcPr>
            <w:tcW w:w="2200" w:type="dxa"/>
            <w:tcMar>
              <w:top w:w="100" w:type="dxa"/>
              <w:bottom w:w="100" w:type="dxa"/>
              <w:start w:w="140" w:type="dxa"/>
              <w:end w:w="140" w:type="dxa"/>
            </w:tcMar>
          </w:tcPr>
          <w:p>
            <w:pPr>
              <w:pStyle w:val="TableText"/>
            </w:pPr>
            <w:r>
              <w:t xml:space="preserve">Support workflow</w:t>
            </w:r>
          </w:p>
        </w:tc>
        <w:tc>
          <w:tcPr>
            <w:tcW w:w="7160" w:type="dxa"/>
            <w:tcMar>
              <w:top w:w="100" w:type="dxa"/>
              <w:bottom w:w="100" w:type="dxa"/>
              <w:start w:w="140" w:type="dxa"/>
              <w:end w:w="140" w:type="dxa"/>
            </w:tcMar>
          </w:tcPr>
          <w:p>
            <w:pPr>
              <w:pStyle w:val="TableText"/>
            </w:pPr>
            <w:r>
              <w:t xml:space="preserve">Users submit tickets or appointment requests while staff can respond, review and manage follow-up.</w:t>
            </w:r>
          </w:p>
        </w:tc>
      </w:tr>
    </w:tbl>
    <w:p>
      <w:pPr>
        <w:pStyle w:val="Heading1"/>
      </w:pPr>
      <w:r>
        <w:t xml:space="preserve">Competitive and Business Strengths</w:t>
      </w:r>
    </w:p>
    <w:p>
      <w:pPr>
        <w:numPr>
          <w:ilvl w:val="0"/>
          <w:numId w:val="1"/>
        </w:numPr>
        <w:spacing w:after="80" w:line="290" w:lineRule="auto"/>
      </w:pPr>
      <w:r>
        <w:t xml:space="preserve">All-in-one coverage across operations, education, trader tools, support and growth workflows.</w:t>
      </w:r>
    </w:p>
    <w:p>
      <w:pPr>
        <w:numPr>
          <w:ilvl w:val="0"/>
          <w:numId w:val="1"/>
        </w:numPr>
        <w:spacing w:after="80" w:line="290" w:lineRule="auto"/>
      </w:pPr>
      <w:r>
        <w:t xml:space="preserve">Role-aware organization that lets different user groups focus on the work that matters to them.</w:t>
      </w:r>
    </w:p>
    <w:p>
      <w:pPr>
        <w:numPr>
          <w:ilvl w:val="0"/>
          <w:numId w:val="1"/>
        </w:numPr>
        <w:spacing w:after="80" w:line="290" w:lineRule="auto"/>
      </w:pPr>
      <w:r>
        <w:t xml:space="preserve">Broad feature coverage with journals, analysis, signals, exams, support, appointments, prop firm tools and administration.</w:t>
      </w:r>
    </w:p>
    <w:p>
      <w:pPr>
        <w:numPr>
          <w:ilvl w:val="0"/>
          <w:numId w:val="1"/>
        </w:numPr>
        <w:spacing w:after="80" w:line="290" w:lineRule="auto"/>
      </w:pPr>
      <w:r>
        <w:t xml:space="preserve">Scalable structure for referral-led growth and downline visibility.</w:t>
      </w:r>
    </w:p>
    <w:p>
      <w:pPr>
        <w:numPr>
          <w:ilvl w:val="0"/>
          <w:numId w:val="1"/>
        </w:numPr>
        <w:spacing w:after="80" w:line="290" w:lineRule="auto"/>
      </w:pPr>
      <w:r>
        <w:t xml:space="preserve">Operational visibility through dashboards, admin reviews, audit logs and performance tracking.</w:t>
      </w:r>
    </w:p>
    <w:p>
      <w:pPr>
        <w:numPr>
          <w:ilvl w:val="0"/>
          <w:numId w:val="1"/>
        </w:numPr>
        <w:spacing w:after="80" w:line="290" w:lineRule="auto"/>
      </w:pPr>
      <w:r>
        <w:t xml:space="preserve">Multilingual readiness for English and Chinese audiences.</w:t>
      </w:r>
    </w:p>
    <w:p>
      <w:pPr>
        <w:pStyle w:val="Heading1"/>
      </w:pPr>
      <w:r>
        <w:t xml:space="preserve">Multilingual and Accessibility Support</w:t>
      </w:r>
    </w:p>
    <w:p>
      <w:r>
        <w:t xml:space="preserve">HC Trader supports English and Chinese through a custom localization layer. This is a meaningful business advantage for teams serving multilingual audiences, because core labels, role names and many dynamic content areas can appear in the user selected language. The project also includes translation tooling for Firestore content, which supports bilingual market content and exam material.</w:t>
      </w:r>
    </w:p>
    <w:p>
      <w:r>
        <w:t xml:space="preserve">Manual review is still recommended for admin and publisher surfaces, where some hardcoded English text remains.</w:t>
      </w:r>
    </w:p>
    <w:p>
      <w:pPr>
        <w:pStyle w:val="Heading1"/>
      </w:pPr>
      <w:r>
        <w:t xml:space="preserve">Platform Availability</w:t>
      </w:r>
    </w:p>
    <w:tbl>
      <w:tblPr>
        <w:tblW w:w="9360" w:type="dxa"/>
        <w:tblInd w:w="120" w:type="dxa"/>
        <w:tblBorders>
          <w:top w:val="single" w:sz="4" w:color="D8DEE6"/>
          <w:left w:val="single" w:sz="4" w:color="D8DEE6"/>
          <w:bottom w:val="single" w:sz="4" w:color="D8DEE6"/>
          <w:right w:val="single" w:sz="4" w:color="D8DEE6"/>
          <w:insideH w:val="single" w:sz="4" w:color="E7EBF0"/>
          <w:insideV w:val="single" w:sz="4" w:color="E7EBF0"/>
        </w:tblBorders>
        <w:tblLayout w:type="fixed"/>
      </w:tblPr>
      <w:tblGrid>
        <w:gridCol w:w="2200"/>
        <w:gridCol w:w="7160"/>
      </w:tblGrid>
      <w:tr>
        <w:tc>
          <w:tcPr>
            <w:tcW w:w="2200" w:type="dxa"/>
            <w:shd w:fill="F4F6F9"/>
            <w:tcMar>
              <w:top w:w="100" w:type="dxa"/>
              <w:bottom w:w="100" w:type="dxa"/>
              <w:start w:w="140" w:type="dxa"/>
              <w:end w:w="140" w:type="dxa"/>
            </w:tcMar>
          </w:tcPr>
          <w:p>
            <w:pPr>
              <w:pStyle w:val="TableHeader"/>
            </w:pPr>
            <w:r>
              <w:t xml:space="preserve">Platform</w:t>
            </w:r>
          </w:p>
        </w:tc>
        <w:tc>
          <w:tcPr>
            <w:tcW w:w="7160" w:type="dxa"/>
            <w:shd w:fill="F4F6F9"/>
            <w:tcMar>
              <w:top w:w="100" w:type="dxa"/>
              <w:bottom w:w="100" w:type="dxa"/>
              <w:start w:w="140" w:type="dxa"/>
              <w:end w:w="140" w:type="dxa"/>
            </w:tcMar>
          </w:tcPr>
          <w:p>
            <w:pPr>
              <w:pStyle w:val="TableHeader"/>
            </w:pPr>
            <w:r>
              <w:t xml:space="preserve">Marketing status</w:t>
            </w:r>
          </w:p>
        </w:tc>
      </w:tr>
      <w:tr>
        <w:tc>
          <w:tcPr>
            <w:tcW w:w="2200" w:type="dxa"/>
            <w:tcMar>
              <w:top w:w="100" w:type="dxa"/>
              <w:bottom w:w="100" w:type="dxa"/>
              <w:start w:w="140" w:type="dxa"/>
              <w:end w:w="140" w:type="dxa"/>
            </w:tcMar>
          </w:tcPr>
          <w:p>
            <w:pPr>
              <w:pStyle w:val="TableText"/>
            </w:pPr>
            <w:r>
              <w:t xml:space="preserve">Android</w:t>
            </w:r>
          </w:p>
        </w:tc>
        <w:tc>
          <w:tcPr>
            <w:tcW w:w="7160" w:type="dxa"/>
            <w:tcMar>
              <w:top w:w="100" w:type="dxa"/>
              <w:bottom w:w="100" w:type="dxa"/>
              <w:start w:w="140" w:type="dxa"/>
              <w:end w:w="140" w:type="dxa"/>
            </w:tcMar>
          </w:tcPr>
          <w:p>
            <w:pPr>
              <w:pStyle w:val="TableText"/>
            </w:pPr>
            <w:r>
              <w:t xml:space="preserve">Confirmed and release-focused, with configured package and AAB release files.</w:t>
            </w:r>
          </w:p>
        </w:tc>
      </w:tr>
      <w:tr>
        <w:tc>
          <w:tcPr>
            <w:tcW w:w="2200" w:type="dxa"/>
            <w:tcMar>
              <w:top w:w="100" w:type="dxa"/>
              <w:bottom w:w="100" w:type="dxa"/>
              <w:start w:w="140" w:type="dxa"/>
              <w:end w:w="140" w:type="dxa"/>
            </w:tcMar>
          </w:tcPr>
          <w:p>
            <w:pPr>
              <w:pStyle w:val="TableText"/>
            </w:pPr>
            <w:r>
              <w:t xml:space="preserve">Web</w:t>
            </w:r>
          </w:p>
        </w:tc>
        <w:tc>
          <w:tcPr>
            <w:tcW w:w="7160" w:type="dxa"/>
            <w:tcMar>
              <w:top w:w="100" w:type="dxa"/>
              <w:bottom w:w="100" w:type="dxa"/>
              <w:start w:w="140" w:type="dxa"/>
              <w:end w:w="140" w:type="dxa"/>
            </w:tcMar>
          </w:tcPr>
          <w:p>
            <w:pPr>
              <w:pStyle w:val="TableText"/>
            </w:pPr>
            <w:r>
              <w:t xml:space="preserve">Confirmed project folder and Firebase configuration are present.</w:t>
            </w:r>
          </w:p>
        </w:tc>
      </w:tr>
      <w:tr>
        <w:tc>
          <w:tcPr>
            <w:tcW w:w="2200" w:type="dxa"/>
            <w:tcMar>
              <w:top w:w="100" w:type="dxa"/>
              <w:bottom w:w="100" w:type="dxa"/>
              <w:start w:w="140" w:type="dxa"/>
              <w:end w:w="140" w:type="dxa"/>
            </w:tcMar>
          </w:tcPr>
          <w:p>
            <w:pPr>
              <w:pStyle w:val="TableText"/>
            </w:pPr>
            <w:r>
              <w:t xml:space="preserve">Windows</w:t>
            </w:r>
          </w:p>
        </w:tc>
        <w:tc>
          <w:tcPr>
            <w:tcW w:w="7160" w:type="dxa"/>
            <w:tcMar>
              <w:top w:w="100" w:type="dxa"/>
              <w:bottom w:w="100" w:type="dxa"/>
              <w:start w:w="140" w:type="dxa"/>
              <w:end w:w="140" w:type="dxa"/>
            </w:tcMar>
          </w:tcPr>
          <w:p>
            <w:pPr>
              <w:pStyle w:val="TableText"/>
            </w:pPr>
            <w:r>
              <w:t xml:space="preserve">Confirmed project folder and Firebase configuration are present.</w:t>
            </w:r>
          </w:p>
        </w:tc>
      </w:tr>
      <w:tr>
        <w:tc>
          <w:tcPr>
            <w:tcW w:w="2200" w:type="dxa"/>
            <w:tcMar>
              <w:top w:w="100" w:type="dxa"/>
              <w:bottom w:w="100" w:type="dxa"/>
              <w:start w:w="140" w:type="dxa"/>
              <w:end w:w="140" w:type="dxa"/>
            </w:tcMar>
          </w:tcPr>
          <w:p>
            <w:pPr>
              <w:pStyle w:val="TableText"/>
            </w:pPr>
            <w:r>
              <w:t xml:space="preserve">iOS</w:t>
            </w:r>
          </w:p>
        </w:tc>
        <w:tc>
          <w:tcPr>
            <w:tcW w:w="7160" w:type="dxa"/>
            <w:tcMar>
              <w:top w:w="100" w:type="dxa"/>
              <w:bottom w:w="100" w:type="dxa"/>
              <w:start w:w="140" w:type="dxa"/>
              <w:end w:w="140" w:type="dxa"/>
            </w:tcMar>
          </w:tcPr>
          <w:p>
            <w:pPr>
              <w:pStyle w:val="TableText"/>
            </w:pPr>
            <w:r>
              <w:t xml:space="preserve">Not confirmed. No ios/ folder found.</w:t>
            </w:r>
          </w:p>
        </w:tc>
      </w:tr>
      <w:tr>
        <w:tc>
          <w:tcPr>
            <w:tcW w:w="2200" w:type="dxa"/>
            <w:tcMar>
              <w:top w:w="100" w:type="dxa"/>
              <w:bottom w:w="100" w:type="dxa"/>
              <w:start w:w="140" w:type="dxa"/>
              <w:end w:w="140" w:type="dxa"/>
            </w:tcMar>
          </w:tcPr>
          <w:p>
            <w:pPr>
              <w:pStyle w:val="TableText"/>
            </w:pPr>
            <w:r>
              <w:t xml:space="preserve">macOS</w:t>
            </w:r>
          </w:p>
        </w:tc>
        <w:tc>
          <w:tcPr>
            <w:tcW w:w="7160" w:type="dxa"/>
            <w:tcMar>
              <w:top w:w="100" w:type="dxa"/>
              <w:bottom w:w="100" w:type="dxa"/>
              <w:start w:w="140" w:type="dxa"/>
              <w:end w:w="140" w:type="dxa"/>
            </w:tcMar>
          </w:tcPr>
          <w:p>
            <w:pPr>
              <w:pStyle w:val="TableText"/>
            </w:pPr>
            <w:r>
              <w:t xml:space="preserve">Not confirmed. No macos/ folder found.</w:t>
            </w:r>
          </w:p>
        </w:tc>
      </w:tr>
      <w:tr>
        <w:tc>
          <w:tcPr>
            <w:tcW w:w="2200" w:type="dxa"/>
            <w:tcMar>
              <w:top w:w="100" w:type="dxa"/>
              <w:bottom w:w="100" w:type="dxa"/>
              <w:start w:w="140" w:type="dxa"/>
              <w:end w:w="140" w:type="dxa"/>
            </w:tcMar>
          </w:tcPr>
          <w:p>
            <w:pPr>
              <w:pStyle w:val="TableText"/>
            </w:pPr>
            <w:r>
              <w:t xml:space="preserve">Linux</w:t>
            </w:r>
          </w:p>
        </w:tc>
        <w:tc>
          <w:tcPr>
            <w:tcW w:w="7160" w:type="dxa"/>
            <w:tcMar>
              <w:top w:w="100" w:type="dxa"/>
              <w:bottom w:w="100" w:type="dxa"/>
              <w:start w:w="140" w:type="dxa"/>
              <w:end w:w="140" w:type="dxa"/>
            </w:tcMar>
          </w:tcPr>
          <w:p>
            <w:pPr>
              <w:pStyle w:val="TableText"/>
            </w:pPr>
            <w:r>
              <w:t xml:space="preserve">Not confirmed. No linux/ folder found.</w:t>
            </w:r>
          </w:p>
        </w:tc>
      </w:tr>
    </w:tbl>
    <w:p>
      <w:pPr>
        <w:pStyle w:val="Heading1"/>
      </w:pPr>
      <w:r>
        <w:t xml:space="preserve">Marketing Summary</w:t>
      </w:r>
    </w:p>
    <w:p>
      <w:r>
        <w:t xml:space="preserve">HC Trader is valuable because it gives trading teams a more organized way to operate, support users, publish content and guide trader progress. It presents a clear business story: better organization, better visibility, stronger support and a scalable foundation for trader and team growth.</w:t>
      </w:r>
    </w:p>
    <w:p>
      <w:pPr>
        <w:pStyle w:val="Heading1"/>
      </w:pPr>
      <w:r>
        <w:t xml:space="preserve">Appendix - Confirmed Feature List</w:t>
      </w:r>
    </w:p>
    <w:p>
      <w:pPr>
        <w:numPr>
          <w:ilvl w:val="0"/>
          <w:numId w:val="1"/>
        </w:numPr>
        <w:spacing w:after="80" w:line="290" w:lineRule="auto"/>
      </w:pPr>
      <w:r>
        <w:t xml:space="preserve">Firebase-backed secure account access</w:t>
      </w:r>
    </w:p>
    <w:p>
      <w:pPr>
        <w:numPr>
          <w:ilvl w:val="0"/>
          <w:numId w:val="1"/>
        </w:numPr>
        <w:spacing w:after="80" w:line="290" w:lineRule="auto"/>
      </w:pPr>
      <w:r>
        <w:t xml:space="preserve">Email/username sign-in and registration</w:t>
      </w:r>
    </w:p>
    <w:p>
      <w:pPr>
        <w:numPr>
          <w:ilvl w:val="0"/>
          <w:numId w:val="1"/>
        </w:numPr>
        <w:spacing w:after="80" w:line="290" w:lineRule="auto"/>
      </w:pPr>
      <w:r>
        <w:t xml:space="preserve">Referral-aware registration and downline records</w:t>
      </w:r>
    </w:p>
    <w:p>
      <w:pPr>
        <w:numPr>
          <w:ilvl w:val="0"/>
          <w:numId w:val="1"/>
        </w:numPr>
        <w:spacing w:after="80" w:line="290" w:lineRule="auto"/>
      </w:pPr>
      <w:r>
        <w:t xml:space="preserve">Multi-role user structure</w:t>
      </w:r>
    </w:p>
    <w:p>
      <w:pPr>
        <w:numPr>
          <w:ilvl w:val="0"/>
          <w:numId w:val="1"/>
        </w:numPr>
        <w:spacing w:after="80" w:line="290" w:lineRule="auto"/>
      </w:pPr>
      <w:r>
        <w:t xml:space="preserve">Admin dashboard and resource management</w:t>
      </w:r>
    </w:p>
    <w:p>
      <w:pPr>
        <w:numPr>
          <w:ilvl w:val="0"/>
          <w:numId w:val="1"/>
        </w:numPr>
        <w:spacing w:after="80" w:line="290" w:lineRule="auto"/>
      </w:pPr>
      <w:r>
        <w:t xml:space="preserve">Feature toggles and audit logs</w:t>
      </w:r>
    </w:p>
    <w:p>
      <w:pPr>
        <w:numPr>
          <w:ilvl w:val="0"/>
          <w:numId w:val="1"/>
        </w:numPr>
        <w:spacing w:after="80" w:line="290" w:lineRule="auto"/>
      </w:pPr>
      <w:r>
        <w:t xml:space="preserve">Trading journal with import and attachments</w:t>
      </w:r>
    </w:p>
    <w:p>
      <w:pPr>
        <w:numPr>
          <w:ilvl w:val="0"/>
          <w:numId w:val="1"/>
        </w:numPr>
        <w:spacing w:after="80" w:line="290" w:lineRule="auto"/>
      </w:pPr>
      <w:r>
        <w:t xml:space="preserve">Dashboard and performance analytics</w:t>
      </w:r>
    </w:p>
    <w:p>
      <w:pPr>
        <w:numPr>
          <w:ilvl w:val="0"/>
          <w:numId w:val="1"/>
        </w:numPr>
        <w:spacing w:after="80" w:line="290" w:lineRule="auto"/>
      </w:pPr>
      <w:r>
        <w:t xml:space="preserve">Trading accounts and capital tracking</w:t>
      </w:r>
    </w:p>
    <w:p>
      <w:pPr>
        <w:numPr>
          <w:ilvl w:val="0"/>
          <w:numId w:val="1"/>
        </w:numPr>
        <w:spacing w:after="80" w:line="290" w:lineRule="auto"/>
      </w:pPr>
      <w:r>
        <w:t xml:space="preserve">Verification/onboarding review workflow</w:t>
      </w:r>
    </w:p>
    <w:p>
      <w:pPr>
        <w:numPr>
          <w:ilvl w:val="0"/>
          <w:numId w:val="1"/>
        </w:numPr>
        <w:spacing w:after="80" w:line="290" w:lineRule="auto"/>
      </w:pPr>
      <w:r>
        <w:t xml:space="preserve">Trading hub for analysis, signals, blogs, recordings, knowledge and resources</w:t>
      </w:r>
    </w:p>
    <w:p>
      <w:pPr>
        <w:numPr>
          <w:ilvl w:val="0"/>
          <w:numId w:val="1"/>
        </w:numPr>
        <w:spacing w:after="80" w:line="290" w:lineRule="auto"/>
      </w:pPr>
      <w:r>
        <w:t xml:space="preserve">Daily exam and final examination workflows</w:t>
      </w:r>
    </w:p>
    <w:p>
      <w:pPr>
        <w:numPr>
          <w:ilvl w:val="0"/>
          <w:numId w:val="1"/>
        </w:numPr>
        <w:spacing w:after="80" w:line="290" w:lineRule="auto"/>
      </w:pPr>
      <w:r>
        <w:t xml:space="preserve">Risk calculator, statistics, psychology and trading plan tools</w:t>
      </w:r>
    </w:p>
    <w:p>
      <w:pPr>
        <w:numPr>
          <w:ilvl w:val="0"/>
          <w:numId w:val="1"/>
        </w:numPr>
        <w:spacing w:after="80" w:line="290" w:lineRule="auto"/>
      </w:pPr>
      <w:r>
        <w:t xml:space="preserve">Prop firm progress tools and admin review support</w:t>
      </w:r>
    </w:p>
    <w:p>
      <w:pPr>
        <w:numPr>
          <w:ilvl w:val="0"/>
          <w:numId w:val="1"/>
        </w:numPr>
        <w:spacing w:after="80" w:line="290" w:lineRule="auto"/>
      </w:pPr>
      <w:r>
        <w:t xml:space="preserve">Readiness checklist</w:t>
      </w:r>
    </w:p>
    <w:p>
      <w:pPr>
        <w:numPr>
          <w:ilvl w:val="0"/>
          <w:numId w:val="1"/>
        </w:numPr>
        <w:spacing w:after="80" w:line="290" w:lineRule="auto"/>
      </w:pPr>
      <w:r>
        <w:t xml:space="preserve">Support tickets with messages and attachments</w:t>
      </w:r>
    </w:p>
    <w:p>
      <w:pPr>
        <w:numPr>
          <w:ilvl w:val="0"/>
          <w:numId w:val="1"/>
        </w:numPr>
        <w:spacing w:after="80" w:line="290" w:lineRule="auto"/>
      </w:pPr>
      <w:r>
        <w:t xml:space="preserve">Appointment booking and review workflow</w:t>
      </w:r>
    </w:p>
    <w:p>
      <w:pPr>
        <w:numPr>
          <w:ilvl w:val="0"/>
          <w:numId w:val="1"/>
        </w:numPr>
        <w:spacing w:after="80" w:line="290" w:lineRule="auto"/>
      </w:pPr>
      <w:r>
        <w:t xml:space="preserve">Recruitment/invite workspace</w:t>
      </w:r>
    </w:p>
    <w:p>
      <w:pPr>
        <w:numPr>
          <w:ilvl w:val="0"/>
          <w:numId w:val="1"/>
        </w:numPr>
        <w:spacing w:after="80" w:line="290" w:lineRule="auto"/>
      </w:pPr>
      <w:r>
        <w:t xml:space="preserve">Profile, avatar, password and settings management</w:t>
      </w:r>
    </w:p>
    <w:p>
      <w:pPr>
        <w:numPr>
          <w:ilvl w:val="0"/>
          <w:numId w:val="1"/>
        </w:numPr>
        <w:spacing w:after="80" w:line="290" w:lineRule="auto"/>
      </w:pPr>
      <w:r>
        <w:t xml:space="preserve">English and Chinese localization</w:t>
      </w:r>
    </w:p>
    <w:p>
      <w:pPr>
        <w:numPr>
          <w:ilvl w:val="0"/>
          <w:numId w:val="1"/>
        </w:numPr>
        <w:spacing w:after="80" w:line="290" w:lineRule="auto"/>
      </w:pPr>
      <w:r>
        <w:t xml:space="preserve">Push notification preferences and FCM topic/direct notifications</w:t>
      </w:r>
    </w:p>
    <w:p>
      <w:pPr>
        <w:numPr>
          <w:ilvl w:val="0"/>
          <w:numId w:val="1"/>
        </w:numPr>
        <w:spacing w:after="80" w:line="290" w:lineRule="auto"/>
      </w:pPr>
      <w:r>
        <w:t xml:space="preserve">Android, Web and Windows project support</w:t>
      </w:r>
    </w:p>
    <w:p>
      <w:pPr>
        <w:pStyle w:val="Heading1"/>
      </w:pPr>
      <w:r>
        <w:t xml:space="preserve">Items Requiring Manual Confirmation</w:t>
      </w:r>
    </w:p>
    <w:p>
      <w:pPr>
        <w:numPr>
          <w:ilvl w:val="0"/>
          <w:numId w:val="1"/>
        </w:numPr>
        <w:spacing w:after="80" w:line="290" w:lineRule="auto"/>
      </w:pPr>
      <w:r>
        <w:t xml:space="preserve">AI assistant: an ai_assistant feature flag is present, but no confirmed Flutter user-facing AI assistant module was found.</w:t>
      </w:r>
    </w:p>
    <w:p>
      <w:pPr>
        <w:numPr>
          <w:ilvl w:val="0"/>
          <w:numId w:val="1"/>
        </w:numPr>
        <w:spacing w:after="80" w:line="290" w:lineRule="auto"/>
      </w:pPr>
      <w:r>
        <w:t xml:space="preserve">Financial Department role: requested as a possible role, but no implemented Flutter role id or screen was confirmed.</w:t>
      </w:r>
    </w:p>
    <w:p>
      <w:pPr>
        <w:numPr>
          <w:ilvl w:val="0"/>
          <w:numId w:val="1"/>
        </w:numPr>
        <w:spacing w:after="80" w:line="290" w:lineRule="auto"/>
      </w:pPr>
      <w:r>
        <w:t xml:space="preserve">iOS, macOS and Linux builds: dependencies may be portable, but project folders are not present in this snapshot.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540"/>
        </w:tabs>
        <w:ind w:left="540" w:hanging="280"/>
      </w:pPr>
      <w:rPr>
        <w:rFonts w:ascii="Calibri" w:hAnsi="Calibri"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320" w:lineRule="auto"/>
      <w:jc w:val="both"/>
    </w:pPr>
    <w:rPr>
      <w:rFonts w:ascii="Calibri" w:hAnsi="Calibri"/>
      <w:sz w:val="22"/>
      <w:color w:val="1F2933"/>
    </w:rPr>
  </w:style>
  <w:style w:type="paragraph" w:styleId="CoverKicker">
    <w:name w:val="Cover Kicker"/>
    <w:pPr>
      <w:spacing w:before="900" w:after="180"/>
      <w:jc w:val="center"/>
    </w:pPr>
    <w:rPr>
      <w:rFonts w:ascii="Calibri" w:hAnsi="Calibri"/>
      <w:b/>
      <w:caps/>
      <w:color w:val="D99A17"/>
      <w:sz w:val="24"/>
    </w:rPr>
  </w:style>
  <w:style w:type="paragraph" w:styleId="CoverTitle">
    <w:name w:val="Cover Title"/>
    <w:pPr>
      <w:spacing w:after="120"/>
      <w:jc w:val="center"/>
    </w:pPr>
    <w:rPr>
      <w:rFonts w:ascii="Calibri" w:hAnsi="Calibri"/>
      <w:b/>
      <w:color w:val="09212F"/>
      <w:sz w:val="56"/>
    </w:rPr>
  </w:style>
  <w:style w:type="paragraph" w:styleId="CoverSubtitle">
    <w:name w:val="Cover Subtitle"/>
    <w:pPr>
      <w:spacing w:after="420"/>
      <w:jc w:val="center"/>
    </w:pPr>
    <w:rPr>
      <w:rFonts w:ascii="Calibri" w:hAnsi="Calibri"/>
      <w:color w:val="3D5561"/>
      <w:sz w:val="28"/>
    </w:rPr>
  </w:style>
  <w:style w:type="paragraph" w:styleId="Meta">
    <w:name w:val="Meta"/>
    <w:pPr>
      <w:spacing w:after="80"/>
      <w:jc w:val="center"/>
    </w:pPr>
    <w:rPr>
      <w:rFonts w:ascii="Calibri" w:hAnsi="Calibri"/>
      <w:color w:val="5A6B73"/>
      <w:sz w:val="20"/>
    </w:rPr>
  </w:style>
  <w:style w:type="paragraph" w:styleId="Heading1">
    <w:name w:val="heading 1"/>
    <w:basedOn w:val="Normal"/>
    <w:next w:val="Normal"/>
    <w:qFormat/>
    <w:pPr>
      <w:spacing w:before="360" w:after="200"/>
      <w:keepNext/>
    </w:pPr>
    <w:rPr>
      <w:rFonts w:ascii="Calibri" w:hAnsi="Calibri"/>
      <w:b/>
      <w:color w:val="2E74B5"/>
      <w:sz w:val="32"/>
    </w:rPr>
  </w:style>
  <w:style w:type="paragraph" w:styleId="Heading2">
    <w:name w:val="heading 2"/>
    <w:basedOn w:val="Normal"/>
    <w:next w:val="Normal"/>
    <w:qFormat/>
    <w:pPr>
      <w:spacing w:before="240" w:after="120"/>
      <w:keepNext/>
    </w:pPr>
    <w:rPr>
      <w:rFonts w:ascii="Calibri" w:hAnsi="Calibri"/>
      <w:b/>
      <w:color w:val="2E74B5"/>
      <w:sz w:val="26"/>
    </w:rPr>
  </w:style>
  <w:style w:type="paragraph" w:styleId="TableHeader">
    <w:name w:val="Table Header"/>
    <w:basedOn w:val="Normal"/>
    <w:pPr>
      <w:spacing w:after="40" w:line="280" w:lineRule="auto"/>
    </w:pPr>
    <w:rPr>
      <w:rFonts w:ascii="Calibri" w:hAnsi="Calibri"/>
      <w:b/>
      <w:color w:val="0B2545"/>
      <w:sz w:val="19"/>
    </w:rPr>
  </w:style>
  <w:style w:type="paragraph" w:styleId="TableText">
    <w:name w:val="Table Text"/>
    <w:basedOn w:val="Normal"/>
    <w:pPr>
      <w:spacing w:after="40" w:line="280" w:lineRule="auto"/>
      <w:jc w:val="left"/>
    </w:pPr>
    <w:rPr>
      <w:rFonts w:ascii="Calibri" w:hAnsi="Calibri"/>
      <w:color w:val="1F2933"/>
      <w:sz w:val="18"/>
    </w:rPr>
  </w:style>
  <w:style w:type="paragraph" w:styleId="CalloutTitle">
    <w:name w:val="Callout Title"/>
    <w:basedOn w:val="Normal"/>
    <w:pPr>
      <w:spacing w:after="60"/>
    </w:pPr>
    <w:rPr>
      <w:rFonts w:ascii="Calibri" w:hAnsi="Calibri"/>
      <w:b/>
      <w:color w:val="00796B"/>
      <w:sz w:val="22"/>
    </w:rPr>
  </w:style>
  <w:style w:type="paragraph" w:styleId="CalloutText">
    <w:name w:val="Callout Text"/>
    <w:basedOn w:val="Normal"/>
    <w:pPr>
      <w:spacing w:after="0" w:line="300" w:lineRule="auto"/>
      <w:jc w:val="left"/>
    </w:pPr>
    <w:rPr>
      <w:rFonts w:ascii="Calibri" w:hAnsi="Calibri"/>
      <w:color w:val="263B45"/>
      <w:sz w:val="21"/>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 OpenXML Generator</Application>
  <Company>HC Gaming</Company>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 Trader App Marketing Overview</dc:title>
  <dc:creator>Codex</dc:creator>
  <cp:lastModifiedBy>Codex</cp:lastModifiedBy>
  <dcterms:created xsi:type="dcterms:W3CDTF">2026-06-28T00:00:00Z</dcterms:created>
  <dcterms:modified xsi:type="dcterms:W3CDTF">2026-06-28T00:00:00Z</dcterms:modified>
</cp:coreProperties>
</file>