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Короткая версия правил — для статьи об игре на сайте</w:t>
      </w:r>
    </w:p>
    <w:p>
      <w:pPr>
        <w:pStyle w:val="Title"/>
      </w:pPr>
      <w:r>
        <w:t>Келемий. Кристалл раздора</w:t>
      </w:r>
    </w:p>
    <w:p>
      <w:r>
        <w:t>4X-стратегия для 2–4 игроков на гексовом поле — камерный оммаж Command &amp; Conquer: Tiberium Wars в настольном формате. Строите базу, качаете технологии, воюете за ресурс, который одновременно и топливо, и валюта, и очки победы. Партия занимает 6–7 раундов и заканчивается либо по очкам, либо мгновенно — уничтожением вражеского штаба или сборкой секретного супероружия.</w:t>
      </w:r>
    </w:p>
    <w:p>
      <w:r>
        <w:rPr>
          <w:b/>
          <w:color w:val="0060B0"/>
          <w:sz w:val="18"/>
        </w:rPr>
        <w:t>Пометки к разделу «Келемий. Кристалл раздора»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Раунд: карты приказов и правило совпадения</w:t>
      </w:r>
    </w:p>
    <w:p>
      <w:r>
        <w:t>У каждого игрока пять карт приказов — Разработка, Инфраструктура, Операция, Приобретения и универсальная Безопасность. В начале раунда одна карта откладывается рубашкой вверх — она превращается в место, куда за раунд ляжет чужая добыча (трофеи). Оставшиеся четыре карты разыгрываются по одной за круг: игроки одновременно вскрывают карту приказа и разыгрывают её.</w:t>
      </w:r>
    </w:p>
    <w:p>
      <w:r>
        <w:t>Здесь и живёт главное трение игры — правило совпадения. Каждая карта приказа даёт два действия, но только если приказ вскрыл ты один. Совпал с соседом — оба играете лишь одно действие вместо двух. Угадать, что вскроют другие, нельзя: карты выкладываются вслепую и одновременно. Вся стратегия раунда строится на risk management вокруг этой неопределённости.</w:t>
      </w:r>
    </w:p>
    <w:p>
      <w:r>
        <w:rPr>
          <w:b/>
          <w:color w:val="0060B0"/>
          <w:sz w:val="18"/>
        </w:rPr>
        <w:t>Пометки к разделу «Раунд: карты приказов и правило совпадения»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Восемь действий, две пары требований</w:t>
      </w:r>
    </w:p>
    <w:p>
      <w:r>
        <w:t>Четыре приказа — это восемь действий: Сборка и Добыча (Разработка), Стройка и Смена энергии (Инфраструктура), Движение и Бой (Операция), Маркет и Наука (Приобретения). У каждого действия есть бесплатная порция — то, что вы делаете один раз без доплаты, — и правило нарастающей платы за всё сверх неё. Например, первое перемещение войска бесплатно, а каждое следующее стоит боеприпас; первый бой в раунде бесплатен, а второй — уже с надбавкой.</w:t>
      </w:r>
    </w:p>
    <w:p>
      <w:r>
        <w:t>Из этого следует главный принцип баланса: ни одно действие не бывает мёртвым при любой раскладке на поле, но и ни одно нельзя спамить бесконечно за один ход.</w:t>
      </w:r>
    </w:p>
    <w:p>
      <w:r>
        <w:rPr>
          <w:b/>
          <w:color w:val="0060B0"/>
          <w:sz w:val="18"/>
        </w:rPr>
        <w:t>Пометки к разделу «Восемь действий, две пары требований»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Энергия — это разрешение, а не расход</w:t>
      </w:r>
    </w:p>
    <w:p>
      <w:r>
        <w:t>Необычный ход дизайна: кубик энергии в игре никогда не тратится. Он лежит на здании и просто разрешает ему работать — не запитал, значит здание молчит, но ничего не сгорает. Энергию можно перекладывать между зданиями действием Смена энергии, и здесь тоже работает правило нарастающей платы: первый гекс-источник бесплатно, каждый следующий — дороже.</w:t>
      </w:r>
    </w:p>
    <w:p>
      <w:r>
        <w:rPr>
          <w:b/>
          <w:color w:val="0060B0"/>
          <w:sz w:val="18"/>
        </w:rPr>
        <w:t>Пометки к разделу «Энергия — это разрешение, а не расход»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Асимметричные планшеты</w:t>
      </w:r>
    </w:p>
    <w:p>
      <w:r>
        <w:t>Один общий комплект жетонов войск и зданий одинаков у всех игроков — никаких разных цифр на одинаковых фигурках. Асимметрия живёт в планшетах: каждый игрок берёт одну из четырёх особых сторон («Авиакрыло», «Старая школа», «Лёгкий десант», «Инженерный корпус») плюс тренировочную симметричную сторону А для тех, кто играет впервые. Планшет меняет, кто чем и по какой цене бьёт, — но здоровье и урон жетонов остаются честными для всех.</w:t>
      </w:r>
    </w:p>
    <w:p>
      <w:r>
        <w:rPr>
          <w:b/>
          <w:color w:val="0060B0"/>
          <w:sz w:val="18"/>
        </w:rPr>
        <w:t>Пометки к разделу «Асимметричные планшеты»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Бой и ответный удар</w:t>
      </w:r>
    </w:p>
    <w:p>
      <w:r>
        <w:t>Атаковал чужие жетоны — соперник немедленно получает бесплатный ответный бой по твоим жетонам. Это меняет расчёт: нападение почти никогда не бывает безответным, и штурмовать голыми руками невыгодно. У каждого рода войск по две строки атаки — дешёвая профильная и дорогая универсальная, — и красные модули могут переспециализировать вторую строку под другую цель.</w:t>
      </w:r>
    </w:p>
    <w:p>
      <w:r>
        <w:rPr>
          <w:b/>
          <w:color w:val="0060B0"/>
          <w:sz w:val="18"/>
        </w:rPr>
        <w:t>Пометки к разделу «Бой и ответный удар»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Планшет технологий: три трека</w:t>
      </w:r>
    </w:p>
    <w:p>
      <w:r>
        <w:t>Трофеи от уничтоженных жетонов и выполненных заданий сдаются на один из трёх общих треков — за модули, за жетоны хранилища или за постоянные бонусы. На вершине каждого трека с самого начала партии лежит открытая карта супер арсенала — мощная награда, за которую борется весь стол, потому что место там только одно.</w:t>
      </w:r>
    </w:p>
    <w:p>
      <w:r>
        <w:rPr>
          <w:b/>
          <w:color w:val="0060B0"/>
          <w:sz w:val="18"/>
        </w:rPr>
        <w:t>Пометки к разделу «Планшет технологий: три трека»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Задания, арсенал, контейнеры</w:t>
      </w:r>
    </w:p>
    <w:p>
      <w:r>
        <w:t>Карты заданий выдают конкретные условия — построить, продвинуться, уничтожить, пожертвовать — и награждают ресурсами того приказа, который вы иначе не разыграли бы сами. Карты арсенала дают выбор между разовым эффектом и постоянной пассивкой, спрятанной под планшетом, — розыгрыш всегда держит соперников в неведении, что там стоит. А контейнеры прямо напечатаны на игровом поле: дошёл жетоном до нужной ячейки — получил карту с мелким, но приятным бонусом.</w:t>
      </w:r>
    </w:p>
    <w:p>
      <w:r>
        <w:rPr>
          <w:b/>
          <w:color w:val="0060B0"/>
          <w:sz w:val="18"/>
        </w:rPr>
        <w:t>Пометки к разделу «Задания, арсенал, контейнеры»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Как заканчивается партия</w:t>
      </w:r>
    </w:p>
    <w:p>
      <w:r>
        <w:t>Два спокойных финала — все три вершины треков заняты или на поле выработан последний ресурсный тайл — ведут к подсчёту очков: они копятся из технологий, ресурсов в запасе, построек и войск на поле, взятых тайлов и уцелевшего командного центра.</w:t>
      </w:r>
    </w:p>
    <w:p>
      <w:r>
        <w:t>И два взрывных: уничтожить чужой штаб, уже держа на руках трофей за уничтожение чьего-то ещё штаба, — мгновенная военная победа. Либо тайно собрать секретный проект — супер задание — и внедрить его на поле раньше соперников. Обе угрозы видны всем с первых ходов, так что стол успевает среагировать.</w:t>
      </w:r>
    </w:p>
    <w:p>
      <w:r>
        <w:rPr>
          <w:b/>
          <w:color w:val="0060B0"/>
          <w:sz w:val="18"/>
        </w:rPr>
        <w:t>Пометки к разделу «Как заканчивается партия»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p>
      <w:pPr>
        <w:pStyle w:val="Heading2"/>
      </w:pPr>
      <w:r>
        <w:t>Кому подойдёт</w:t>
      </w:r>
    </w:p>
    <w:p>
      <w:r>
        <w:t>Тем, кто любит плотные евро-4X с настоящим взаимодействием через поле, а не через карточные атаки по чужой руке. Партия для двоих играется иначе, чем вчетвером — колоды заданий и арсенала масштабируются под число игроков, а не просто урезаются пополам.</w:t>
      </w:r>
    </w:p>
    <w:p>
      <w:r>
        <w:rPr>
          <w:b/>
          <w:color w:val="0060B0"/>
          <w:sz w:val="18"/>
        </w:rPr>
        <w:t>Пометки к разделу «Кому подойдёт»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18"/>
              </w:rPr>
              <w:t>Что переделать</w:t>
            </w:r>
          </w:p>
        </w:tc>
        <w:tc>
          <w:tcPr>
            <w:tcW w:type="dxa" w:w="5669"/>
            <w:shd w:val="clear" w:fill="D9D9D9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670"/>
          </w:tcPr>
          <w:p/>
        </w:tc>
      </w:tr>
    </w:tbl>
    <w:p/>
    <w:sectPr w:rsidR="00FC693F" w:rsidRPr="0006063C" w:rsidSect="00034616"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