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BACKSTAGE ESSENTIALS TOOLKIT</w:t>
      </w:r>
    </w:p>
    <w:p>
      <w:pPr>
        <w:spacing w:after="60"/>
      </w:pPr>
      <w:r>
        <w:rPr>
          <w:rFonts w:ascii="Arial" w:cs="Arial" w:eastAsia="Arial" w:hAnsi="Arial"/>
          <w:sz w:val="26"/>
          <w:szCs w:val="26"/>
        </w:rPr>
        <w:t xml:space="preserve">Phase 10: Subject Neutrality Validation</w:t>
      </w:r>
    </w:p>
    <w:p>
      <w:pPr>
        <w:spacing w:after="360"/>
      </w:pPr>
      <w:r>
        <w:rPr>
          <w:rFonts w:ascii="Arial" w:cs="Arial" w:eastAsia="Arial" w:hAnsi="Arial"/>
          <w:i/>
          <w:iCs/>
          <w:sz w:val="20"/>
          <w:szCs w:val="20"/>
        </w:rPr>
        <w:t xml:space="preserve">Bill Larsen, Backstage Essentials LLC | May 4, 2026</w:t>
      </w:r>
    </w:p>
    <w:p>
      <w:pPr>
        <w:pStyle w:val="Heading1"/>
        <w:spacing w:after="180" w:before="360"/>
      </w:pPr>
      <w:r>
        <w:rPr>
          <w:rFonts w:ascii="Arial" w:cs="Arial" w:eastAsia="Arial" w:hAnsi="Arial"/>
          <w:b/>
          <w:bCs/>
          <w:sz w:val="32"/>
          <w:szCs w:val="32"/>
        </w:rPr>
        <w:t xml:space="preserve">0. What This Doc Is</w:t>
      </w:r>
    </w:p>
    <w:p>
      <w:pPr>
        <w:spacing w:after="120"/>
      </w:pPr>
      <w:r>
        <w:rPr>
          <w:rFonts w:ascii="Arial" w:cs="Arial" w:eastAsia="Arial" w:hAnsi="Arial"/>
          <w:sz w:val="22"/>
          <w:szCs w:val="22"/>
        </w:rPr>
        <w:t xml:space="preserve">The toolkit's architecture decision declares it subject and audience neutral, but the toolkit has only been validated on stagehand training content. This doc plans Phase 10: a two part validation that proves the toolkit handles any subject and audience, and surfaces any stagehand specific assumptions that crept in during early development. Hand this doc to Claude Code when you are ready to implement.</w:t>
      </w:r>
    </w:p>
    <w:p>
      <w:pPr>
        <w:pStyle w:val="Heading1"/>
        <w:spacing w:after="180" w:before="360"/>
      </w:pPr>
      <w:r>
        <w:rPr>
          <w:rFonts w:ascii="Arial" w:cs="Arial" w:eastAsia="Arial" w:hAnsi="Arial"/>
          <w:b/>
          <w:bCs/>
          <w:sz w:val="32"/>
          <w:szCs w:val="32"/>
        </w:rPr>
        <w:t xml:space="preserve">1. Why Subject Neutrality Matters</w:t>
      </w:r>
    </w:p>
    <w:p>
      <w:pPr>
        <w:spacing w:after="120"/>
      </w:pPr>
      <w:r>
        <w:rPr>
          <w:rFonts w:ascii="Arial" w:cs="Arial" w:eastAsia="Arial" w:hAnsi="Arial"/>
          <w:sz w:val="22"/>
          <w:szCs w:val="22"/>
        </w:rPr>
        <w:t xml:space="preserve">The toolkit's original architectural decision states: "Toolkit is subject neutral, audience neutral, and multi platform. Voice is per course, not baked into the toolkit. The same toolkit can build a high school geology course or an adult trade training course depending on the local voice-guide.md."</w:t>
      </w:r>
    </w:p>
    <w:p>
      <w:pPr>
        <w:spacing w:after="120"/>
      </w:pPr>
      <w:r>
        <w:rPr>
          <w:rFonts w:ascii="Arial" w:cs="Arial" w:eastAsia="Arial" w:hAnsi="Arial"/>
          <w:sz w:val="22"/>
          <w:szCs w:val="22"/>
        </w:rPr>
        <w:t xml:space="preserve">That decision is right. But it has only been exercised on one course (stagehand training, peer to peer voice, adult learner). The toolkit could quietly contain assumptions that work fine for that audience and silently break for others.</w:t>
      </w:r>
    </w:p>
    <w:p>
      <w:pPr>
        <w:spacing w:after="120"/>
      </w:pPr>
      <w:r>
        <w:rPr>
          <w:rFonts w:ascii="Arial" w:cs="Arial" w:eastAsia="Arial" w:hAnsi="Arial"/>
          <w:sz w:val="22"/>
          <w:szCs w:val="22"/>
        </w:rPr>
        <w:t xml:space="preserve">What neutral means in practice:</w:t>
      </w:r>
    </w:p>
    <w:p>
      <w:pPr>
        <w:pStyle w:val="ListParagraph"/>
        <w:numPr>
          <w:ilvl w:val="0"/>
          <w:numId w:val="2"/>
        </w:numPr>
        <w:spacing w:after="80"/>
      </w:pPr>
      <w:r>
        <w:rPr>
          <w:rFonts w:ascii="Arial" w:cs="Arial" w:eastAsia="Arial" w:hAnsi="Arial"/>
          <w:sz w:val="22"/>
          <w:szCs w:val="22"/>
        </w:rPr>
        <w:t xml:space="preserve">Skill files do not refer to live events, stagehand work, trades, or any specific domain</w:t>
      </w:r>
    </w:p>
    <w:p>
      <w:pPr>
        <w:pStyle w:val="ListParagraph"/>
        <w:numPr>
          <w:ilvl w:val="0"/>
          <w:numId w:val="2"/>
        </w:numPr>
        <w:spacing w:after="80"/>
      </w:pPr>
      <w:r>
        <w:rPr>
          <w:rFonts w:ascii="Arial" w:cs="Arial" w:eastAsia="Arial" w:hAnsi="Arial"/>
          <w:sz w:val="22"/>
          <w:szCs w:val="22"/>
        </w:rPr>
        <w:t xml:space="preserve">Voice guide template accepts any tone (from formal academic to casual peer to peer)</w:t>
      </w:r>
    </w:p>
    <w:p>
      <w:pPr>
        <w:pStyle w:val="ListParagraph"/>
        <w:numPr>
          <w:ilvl w:val="0"/>
          <w:numId w:val="2"/>
        </w:numPr>
        <w:spacing w:after="80"/>
      </w:pPr>
      <w:r>
        <w:rPr>
          <w:rFonts w:ascii="Arial" w:cs="Arial" w:eastAsia="Arial" w:hAnsi="Arial"/>
          <w:sz w:val="22"/>
          <w:szCs w:val="22"/>
        </w:rPr>
        <w:t xml:space="preserve">Examples cover a range of subjects, not just trades</w:t>
      </w:r>
    </w:p>
    <w:p>
      <w:pPr>
        <w:pStyle w:val="ListParagraph"/>
        <w:numPr>
          <w:ilvl w:val="0"/>
          <w:numId w:val="2"/>
        </w:numPr>
        <w:spacing w:after="80"/>
      </w:pPr>
      <w:r>
        <w:rPr>
          <w:rFonts w:ascii="Arial" w:cs="Arial" w:eastAsia="Arial" w:hAnsi="Arial"/>
          <w:sz w:val="22"/>
          <w:szCs w:val="22"/>
        </w:rPr>
        <w:t xml:space="preserve">Generated content does not use stagehand specific metaphors unless the voice guide explicitly authorizes them</w:t>
      </w:r>
    </w:p>
    <w:p>
      <w:pPr>
        <w:pStyle w:val="ListParagraph"/>
        <w:numPr>
          <w:ilvl w:val="0"/>
          <w:numId w:val="2"/>
        </w:numPr>
        <w:spacing w:after="80"/>
      </w:pPr>
      <w:r>
        <w:rPr>
          <w:rFonts w:ascii="Arial" w:cs="Arial" w:eastAsia="Arial" w:hAnsi="Arial"/>
          <w:sz w:val="22"/>
          <w:szCs w:val="22"/>
        </w:rPr>
        <w:t xml:space="preserve">Audience guide accepts any age range and prerequisite assumption</w:t>
      </w:r>
    </w:p>
    <w:p>
      <w:pPr>
        <w:spacing w:after="120"/>
      </w:pPr>
      <w:r>
        <w:rPr>
          <w:rFonts w:ascii="Arial" w:cs="Arial" w:eastAsia="Arial" w:hAnsi="Arial"/>
          <w:sz w:val="22"/>
          <w:szCs w:val="22"/>
        </w:rPr>
        <w:t xml:space="preserve">Phase 10 makes the claim true and tested.</w:t>
      </w:r>
    </w:p>
    <w:p>
      <w:pPr>
        <w:pStyle w:val="Heading1"/>
        <w:spacing w:after="180" w:before="360"/>
      </w:pPr>
      <w:r>
        <w:rPr>
          <w:rFonts w:ascii="Arial" w:cs="Arial" w:eastAsia="Arial" w:hAnsi="Arial"/>
          <w:b/>
          <w:bCs/>
          <w:sz w:val="32"/>
          <w:szCs w:val="32"/>
        </w:rPr>
        <w:t xml:space="preserve">2. Phase 10 Part 1: Toolkit Audit</w:t>
      </w:r>
    </w:p>
    <w:p>
      <w:pPr>
        <w:pStyle w:val="Heading2"/>
        <w:spacing w:after="140" w:before="280"/>
      </w:pPr>
      <w:r>
        <w:rPr>
          <w:rFonts w:ascii="Arial" w:cs="Arial" w:eastAsia="Arial" w:hAnsi="Arial"/>
          <w:b/>
          <w:bCs/>
          <w:sz w:val="26"/>
          <w:szCs w:val="26"/>
        </w:rPr>
        <w:t xml:space="preserve">2.1 What to Audit</w:t>
      </w:r>
    </w:p>
    <w:p>
      <w:pPr>
        <w:spacing w:after="120"/>
      </w:pPr>
      <w:r>
        <w:rPr>
          <w:rFonts w:ascii="Arial" w:cs="Arial" w:eastAsia="Arial" w:hAnsi="Arial"/>
          <w:sz w:val="22"/>
          <w:szCs w:val="22"/>
        </w:rPr>
        <w:t xml:space="preserve">Read every file in the toolkit and flag any assumption that the course is:</w:t>
      </w:r>
    </w:p>
    <w:p>
      <w:pPr>
        <w:pStyle w:val="ListParagraph"/>
        <w:numPr>
          <w:ilvl w:val="0"/>
          <w:numId w:val="2"/>
        </w:numPr>
        <w:spacing w:after="80"/>
      </w:pPr>
      <w:r>
        <w:rPr>
          <w:rFonts w:ascii="Arial" w:cs="Arial" w:eastAsia="Arial" w:hAnsi="Arial"/>
          <w:sz w:val="22"/>
          <w:szCs w:val="22"/>
        </w:rPr>
        <w:t xml:space="preserve">Technical (vs. narrative, conceptual, historical, philosophical)</w:t>
      </w:r>
    </w:p>
    <w:p>
      <w:pPr>
        <w:pStyle w:val="ListParagraph"/>
        <w:numPr>
          <w:ilvl w:val="0"/>
          <w:numId w:val="2"/>
        </w:numPr>
        <w:spacing w:after="80"/>
      </w:pPr>
      <w:r>
        <w:rPr>
          <w:rFonts w:ascii="Arial" w:cs="Arial" w:eastAsia="Arial" w:hAnsi="Arial"/>
          <w:sz w:val="22"/>
          <w:szCs w:val="22"/>
        </w:rPr>
        <w:t xml:space="preserve">Trade or vocational (vs. academic, K through 12, hobbyist, professional development)</w:t>
      </w:r>
    </w:p>
    <w:p>
      <w:pPr>
        <w:pStyle w:val="ListParagraph"/>
        <w:numPr>
          <w:ilvl w:val="0"/>
          <w:numId w:val="2"/>
        </w:numPr>
        <w:spacing w:after="80"/>
      </w:pPr>
      <w:r>
        <w:rPr>
          <w:rFonts w:ascii="Arial" w:cs="Arial" w:eastAsia="Arial" w:hAnsi="Arial"/>
          <w:sz w:val="22"/>
          <w:szCs w:val="22"/>
        </w:rPr>
        <w:t xml:space="preserve">For adult learners (vs. children, teenagers, mixed ages)</w:t>
      </w:r>
    </w:p>
    <w:p>
      <w:pPr>
        <w:pStyle w:val="ListParagraph"/>
        <w:numPr>
          <w:ilvl w:val="0"/>
          <w:numId w:val="2"/>
        </w:numPr>
        <w:spacing w:after="80"/>
      </w:pPr>
      <w:r>
        <w:rPr>
          <w:rFonts w:ascii="Arial" w:cs="Arial" w:eastAsia="Arial" w:hAnsi="Arial"/>
          <w:sz w:val="22"/>
          <w:szCs w:val="22"/>
        </w:rPr>
        <w:t xml:space="preserve">Single language English (vs. multilingual)</w:t>
      </w:r>
    </w:p>
    <w:p>
      <w:pPr>
        <w:spacing w:after="120"/>
      </w:pPr>
      <w:r>
        <w:rPr>
          <w:rFonts w:ascii="Arial" w:cs="Arial" w:eastAsia="Arial" w:hAnsi="Arial"/>
          <w:sz w:val="22"/>
          <w:szCs w:val="22"/>
        </w:rPr>
        <w:t xml:space="preserve">Files to audit:</w:t>
      </w:r>
    </w:p>
    <w:p>
      <w:pPr>
        <w:pStyle w:val="ListParagraph"/>
        <w:numPr>
          <w:ilvl w:val="0"/>
          <w:numId w:val="2"/>
        </w:numPr>
        <w:spacing w:after="80"/>
      </w:pPr>
      <w:r>
        <w:rPr>
          <w:rFonts w:ascii="Arial" w:cs="Arial" w:eastAsia="Arial" w:hAnsi="Arial"/>
          <w:sz w:val="22"/>
          <w:szCs w:val="22"/>
        </w:rPr>
        <w:t xml:space="preserve">All skill files in skills/ (SKILL.md and reference docs)</w:t>
      </w:r>
    </w:p>
    <w:p>
      <w:pPr>
        <w:pStyle w:val="ListParagraph"/>
        <w:numPr>
          <w:ilvl w:val="0"/>
          <w:numId w:val="2"/>
        </w:numPr>
        <w:spacing w:after="80"/>
      </w:pPr>
      <w:r>
        <w:rPr>
          <w:rFonts w:ascii="Arial" w:cs="Arial" w:eastAsia="Arial" w:hAnsi="Arial"/>
          <w:sz w:val="22"/>
          <w:szCs w:val="22"/>
        </w:rPr>
        <w:t xml:space="preserve">All command implementations in bes/commands/</w:t>
      </w:r>
    </w:p>
    <w:p>
      <w:pPr>
        <w:pStyle w:val="ListParagraph"/>
        <w:numPr>
          <w:ilvl w:val="0"/>
          <w:numId w:val="2"/>
        </w:numPr>
        <w:spacing w:after="80"/>
      </w:pPr>
      <w:r>
        <w:rPr>
          <w:rFonts w:ascii="Arial" w:cs="Arial" w:eastAsia="Arial" w:hAnsi="Arial"/>
          <w:sz w:val="22"/>
          <w:szCs w:val="22"/>
        </w:rPr>
        <w:t xml:space="preserve">All examples in examples/</w:t>
      </w:r>
    </w:p>
    <w:p>
      <w:pPr>
        <w:pStyle w:val="ListParagraph"/>
        <w:numPr>
          <w:ilvl w:val="0"/>
          <w:numId w:val="2"/>
        </w:numPr>
        <w:spacing w:after="80"/>
      </w:pPr>
      <w:r>
        <w:rPr>
          <w:rFonts w:ascii="Arial" w:cs="Arial" w:eastAsia="Arial" w:hAnsi="Arial"/>
          <w:sz w:val="22"/>
          <w:szCs w:val="22"/>
        </w:rPr>
        <w:t xml:space="preserve">All docs in docs/</w:t>
      </w:r>
    </w:p>
    <w:p>
      <w:pPr>
        <w:pStyle w:val="ListParagraph"/>
        <w:numPr>
          <w:ilvl w:val="0"/>
          <w:numId w:val="2"/>
        </w:numPr>
        <w:spacing w:after="80"/>
      </w:pPr>
      <w:r>
        <w:rPr>
          <w:rFonts w:ascii="Arial" w:cs="Arial" w:eastAsia="Arial" w:hAnsi="Arial"/>
          <w:sz w:val="22"/>
          <w:szCs w:val="22"/>
        </w:rPr>
        <w:t xml:space="preserve">The toolkit root CLAUDE.md (after Phase 8 lands)</w:t>
      </w:r>
    </w:p>
    <w:p>
      <w:pPr>
        <w:pStyle w:val="ListParagraph"/>
        <w:numPr>
          <w:ilvl w:val="0"/>
          <w:numId w:val="2"/>
        </w:numPr>
        <w:spacing w:after="80"/>
      </w:pPr>
      <w:r>
        <w:rPr>
          <w:rFonts w:ascii="Arial" w:cs="Arial" w:eastAsia="Arial" w:hAnsi="Arial"/>
          <w:sz w:val="22"/>
          <w:szCs w:val="22"/>
        </w:rPr>
        <w:t xml:space="preserve">The course CLAUDE.md template (after Phase 8 lands)</w:t>
      </w:r>
    </w:p>
    <w:p>
      <w:pPr>
        <w:pStyle w:val="Heading2"/>
        <w:spacing w:after="140" w:before="280"/>
      </w:pPr>
      <w:r>
        <w:rPr>
          <w:rFonts w:ascii="Arial" w:cs="Arial" w:eastAsia="Arial" w:hAnsi="Arial"/>
          <w:b/>
          <w:bCs/>
          <w:sz w:val="26"/>
          <w:szCs w:val="26"/>
        </w:rPr>
        <w:t xml:space="preserve">2.2 What to Flag</w:t>
      </w:r>
    </w:p>
    <w:p>
      <w:pPr>
        <w:pStyle w:val="ListParagraph"/>
        <w:numPr>
          <w:ilvl w:val="0"/>
          <w:numId w:val="2"/>
        </w:numPr>
        <w:spacing w:after="80"/>
      </w:pPr>
      <w:r>
        <w:rPr>
          <w:rFonts w:ascii="Arial" w:cs="Arial" w:eastAsia="Arial" w:hAnsi="Arial"/>
          <w:sz w:val="22"/>
          <w:szCs w:val="22"/>
        </w:rPr>
        <w:t xml:space="preserve">Hard coded phrases like stagehand, live event, show floor, load in</w:t>
      </w:r>
    </w:p>
    <w:p>
      <w:pPr>
        <w:pStyle w:val="ListParagraph"/>
        <w:numPr>
          <w:ilvl w:val="0"/>
          <w:numId w:val="2"/>
        </w:numPr>
        <w:spacing w:after="80"/>
      </w:pPr>
      <w:r>
        <w:rPr>
          <w:rFonts w:ascii="Arial" w:cs="Arial" w:eastAsia="Arial" w:hAnsi="Arial"/>
          <w:sz w:val="22"/>
          <w:szCs w:val="22"/>
        </w:rPr>
        <w:t xml:space="preserve">Assumed voice patterns that only work for casual professional content</w:t>
      </w:r>
    </w:p>
    <w:p>
      <w:pPr>
        <w:pStyle w:val="ListParagraph"/>
        <w:numPr>
          <w:ilvl w:val="0"/>
          <w:numId w:val="2"/>
        </w:numPr>
        <w:spacing w:after="80"/>
      </w:pPr>
      <w:r>
        <w:rPr>
          <w:rFonts w:ascii="Arial" w:cs="Arial" w:eastAsia="Arial" w:hAnsi="Arial"/>
          <w:sz w:val="22"/>
          <w:szCs w:val="22"/>
        </w:rPr>
        <w:t xml:space="preserve">Sample passages drawn from one domain</w:t>
      </w:r>
    </w:p>
    <w:p>
      <w:pPr>
        <w:pStyle w:val="ListParagraph"/>
        <w:numPr>
          <w:ilvl w:val="0"/>
          <w:numId w:val="2"/>
        </w:numPr>
        <w:spacing w:after="80"/>
      </w:pPr>
      <w:r>
        <w:rPr>
          <w:rFonts w:ascii="Arial" w:cs="Arial" w:eastAsia="Arial" w:hAnsi="Arial"/>
          <w:sz w:val="22"/>
          <w:szCs w:val="22"/>
        </w:rPr>
        <w:t xml:space="preserve">Default question styles that only suit technical scenario assessment</w:t>
      </w:r>
    </w:p>
    <w:p>
      <w:pPr>
        <w:pStyle w:val="ListParagraph"/>
        <w:numPr>
          <w:ilvl w:val="0"/>
          <w:numId w:val="2"/>
        </w:numPr>
        <w:spacing w:after="80"/>
      </w:pPr>
      <w:r>
        <w:rPr>
          <w:rFonts w:ascii="Arial" w:cs="Arial" w:eastAsia="Arial" w:hAnsi="Arial"/>
          <w:sz w:val="22"/>
          <w:szCs w:val="22"/>
        </w:rPr>
        <w:t xml:space="preserve">Diagram type defaults that only fit technical content</w:t>
      </w:r>
    </w:p>
    <w:p>
      <w:pPr>
        <w:pStyle w:val="ListParagraph"/>
        <w:numPr>
          <w:ilvl w:val="0"/>
          <w:numId w:val="2"/>
        </w:numPr>
        <w:spacing w:after="80"/>
      </w:pPr>
      <w:r>
        <w:rPr>
          <w:rFonts w:ascii="Arial" w:cs="Arial" w:eastAsia="Arial" w:hAnsi="Arial"/>
          <w:sz w:val="22"/>
          <w:szCs w:val="22"/>
        </w:rPr>
        <w:t xml:space="preserve">MicroSim template descriptions that assume technical subject matter</w:t>
      </w:r>
    </w:p>
    <w:p>
      <w:pPr>
        <w:pStyle w:val="Heading2"/>
        <w:spacing w:after="140" w:before="280"/>
      </w:pPr>
      <w:r>
        <w:rPr>
          <w:rFonts w:ascii="Arial" w:cs="Arial" w:eastAsia="Arial" w:hAnsi="Arial"/>
          <w:b/>
          <w:bCs/>
          <w:sz w:val="26"/>
          <w:szCs w:val="26"/>
        </w:rPr>
        <w:t xml:space="preserve">2.3 What to Fix</w:t>
      </w:r>
    </w:p>
    <w:p>
      <w:pPr>
        <w:spacing w:after="120"/>
      </w:pPr>
      <w:r>
        <w:rPr>
          <w:rFonts w:ascii="Arial" w:cs="Arial" w:eastAsia="Arial" w:hAnsi="Arial"/>
          <w:sz w:val="22"/>
          <w:szCs w:val="22"/>
        </w:rPr>
        <w:t xml:space="preserve">For each flagged item:</w:t>
      </w:r>
    </w:p>
    <w:p>
      <w:pPr>
        <w:pStyle w:val="ListParagraph"/>
        <w:numPr>
          <w:ilvl w:val="0"/>
          <w:numId w:val="2"/>
        </w:numPr>
        <w:spacing w:after="80"/>
      </w:pPr>
      <w:r>
        <w:rPr>
          <w:rFonts w:ascii="Arial" w:cs="Arial" w:eastAsia="Arial" w:hAnsi="Arial"/>
          <w:sz w:val="22"/>
          <w:szCs w:val="22"/>
        </w:rPr>
        <w:t xml:space="preserve">Generalize the language (replace stagehand technicians with learners or the audience)</w:t>
      </w:r>
    </w:p>
    <w:p>
      <w:pPr>
        <w:pStyle w:val="ListParagraph"/>
        <w:numPr>
          <w:ilvl w:val="0"/>
          <w:numId w:val="2"/>
        </w:numPr>
        <w:spacing w:after="80"/>
      </w:pPr>
      <w:r>
        <w:rPr>
          <w:rFonts w:ascii="Arial" w:cs="Arial" w:eastAsia="Arial" w:hAnsi="Arial"/>
          <w:sz w:val="22"/>
          <w:szCs w:val="22"/>
        </w:rPr>
        <w:t xml:space="preserve">Add domain neutral examples alongside the existing one if a single example does not capture variety</w:t>
      </w:r>
    </w:p>
    <w:p>
      <w:pPr>
        <w:pStyle w:val="ListParagraph"/>
        <w:numPr>
          <w:ilvl w:val="0"/>
          <w:numId w:val="2"/>
        </w:numPr>
        <w:spacing w:after="80"/>
      </w:pPr>
      <w:r>
        <w:rPr>
          <w:rFonts w:ascii="Arial" w:cs="Arial" w:eastAsia="Arial" w:hAnsi="Arial"/>
          <w:sz w:val="22"/>
          <w:szCs w:val="22"/>
        </w:rPr>
        <w:t xml:space="preserve">Update reference docs to show how the same skill produces different output based on voice guide content</w:t>
      </w:r>
    </w:p>
    <w:p>
      <w:pPr>
        <w:pStyle w:val="Heading2"/>
        <w:spacing w:after="140" w:before="280"/>
      </w:pPr>
      <w:r>
        <w:rPr>
          <w:rFonts w:ascii="Arial" w:cs="Arial" w:eastAsia="Arial" w:hAnsi="Arial"/>
          <w:b/>
          <w:bCs/>
          <w:sz w:val="26"/>
          <w:szCs w:val="26"/>
        </w:rPr>
        <w:t xml:space="preserve">2.4 What to Preserve</w:t>
      </w:r>
    </w:p>
    <w:p>
      <w:pPr>
        <w:spacing w:after="120"/>
      </w:pPr>
      <w:r>
        <w:rPr>
          <w:rFonts w:ascii="Arial" w:cs="Arial" w:eastAsia="Arial" w:hAnsi="Arial"/>
          <w:sz w:val="22"/>
          <w:szCs w:val="22"/>
        </w:rPr>
        <w:t xml:space="preserve">The Backstage Essentials course content itself stays in examples/. The toolkit references the live-event-technician-test-course as one example, not as the canonical example. Coffee sample stays. Existing examples are kept and supplemented, not replaced.</w:t>
      </w:r>
    </w:p>
    <w:p>
      <w:pPr>
        <w:pStyle w:val="Heading2"/>
        <w:spacing w:after="140" w:before="280"/>
      </w:pPr>
      <w:r>
        <w:rPr>
          <w:rFonts w:ascii="Arial" w:cs="Arial" w:eastAsia="Arial" w:hAnsi="Arial"/>
          <w:b/>
          <w:bCs/>
          <w:sz w:val="26"/>
          <w:szCs w:val="26"/>
        </w:rPr>
        <w:t xml:space="preserve">2.5 Output</w:t>
      </w:r>
    </w:p>
    <w:p>
      <w:pPr>
        <w:spacing w:after="120"/>
      </w:pPr>
      <w:r>
        <w:rPr>
          <w:rFonts w:ascii="Arial" w:cs="Arial" w:eastAsia="Arial" w:hAnsi="Arial"/>
          <w:sz w:val="22"/>
          <w:szCs w:val="22"/>
        </w:rPr>
        <w:t xml:space="preserve">A short audit report at docs/phase-10-audit.md listing what was flagged and what was changed. Useful as a confidence document for anyone evaluating the toolkit.</w:t>
      </w:r>
    </w:p>
    <w:p>
      <w:pPr>
        <w:pStyle w:val="Heading2"/>
        <w:spacing w:after="140" w:before="280"/>
      </w:pPr>
      <w:r>
        <w:rPr>
          <w:rFonts w:ascii="Arial" w:cs="Arial" w:eastAsia="Arial" w:hAnsi="Arial"/>
          <w:b/>
          <w:bCs/>
          <w:sz w:val="26"/>
          <w:szCs w:val="26"/>
        </w:rPr>
        <w:t xml:space="preserve">2.6 Effort</w:t>
      </w:r>
    </w:p>
    <w:p>
      <w:pPr>
        <w:spacing w:after="120"/>
      </w:pPr>
      <w:r>
        <w:rPr>
          <w:rFonts w:ascii="Arial" w:cs="Arial" w:eastAsia="Arial" w:hAnsi="Arial"/>
          <w:sz w:val="22"/>
          <w:szCs w:val="22"/>
        </w:rPr>
        <w:t xml:space="preserve">About 1 to 2 hours of Claude Code work.</w:t>
      </w:r>
    </w:p>
    <w:p>
      <w:pPr>
        <w:pStyle w:val="Heading1"/>
        <w:spacing w:after="180" w:before="360"/>
      </w:pPr>
      <w:r>
        <w:rPr>
          <w:rFonts w:ascii="Arial" w:cs="Arial" w:eastAsia="Arial" w:hAnsi="Arial"/>
          <w:b/>
          <w:bCs/>
          <w:sz w:val="32"/>
          <w:szCs w:val="32"/>
        </w:rPr>
        <w:t xml:space="preserve">3. Phase 10 Part 2: Sample US History Course</w:t>
      </w:r>
    </w:p>
    <w:p>
      <w:pPr>
        <w:pStyle w:val="Heading2"/>
        <w:spacing w:after="140" w:before="280"/>
      </w:pPr>
      <w:r>
        <w:rPr>
          <w:rFonts w:ascii="Arial" w:cs="Arial" w:eastAsia="Arial" w:hAnsi="Arial"/>
          <w:b/>
          <w:bCs/>
          <w:sz w:val="26"/>
          <w:szCs w:val="26"/>
        </w:rPr>
        <w:t xml:space="preserve">3.1 Goal</w:t>
      </w:r>
    </w:p>
    <w:p>
      <w:pPr>
        <w:spacing w:after="120"/>
      </w:pPr>
      <w:r>
        <w:rPr>
          <w:rFonts w:ascii="Arial" w:cs="Arial" w:eastAsia="Arial" w:hAnsi="Arial"/>
          <w:sz w:val="22"/>
          <w:szCs w:val="22"/>
        </w:rPr>
        <w:t xml:space="preserve">Build a one or two unit course in a non technical narrative domain. The American Revolution or Westward Expansion are good candidates. The course exercises every toolkit feature so its absence or breakage is visible.</w:t>
      </w:r>
    </w:p>
    <w:p>
      <w:pPr>
        <w:pStyle w:val="Heading2"/>
        <w:spacing w:after="140" w:before="280"/>
      </w:pPr>
      <w:r>
        <w:rPr>
          <w:rFonts w:ascii="Arial" w:cs="Arial" w:eastAsia="Arial" w:hAnsi="Arial"/>
          <w:b/>
          <w:bCs/>
          <w:sz w:val="26"/>
          <w:szCs w:val="26"/>
        </w:rPr>
        <w:t xml:space="preserve">3.2 Audience and Voice</w:t>
      </w:r>
    </w:p>
    <w:p>
      <w:pPr>
        <w:spacing w:after="120"/>
      </w:pPr>
      <w:r>
        <w:rPr>
          <w:rFonts w:ascii="Arial" w:cs="Arial" w:eastAsia="Arial" w:hAnsi="Arial"/>
          <w:sz w:val="22"/>
          <w:szCs w:val="22"/>
        </w:rPr>
        <w:t xml:space="preserve">Pick a clear audience: high school US History students, ages 14 to 17. Voice guide should reflect:</w:t>
      </w:r>
    </w:p>
    <w:p>
      <w:pPr>
        <w:pStyle w:val="ListParagraph"/>
        <w:numPr>
          <w:ilvl w:val="0"/>
          <w:numId w:val="2"/>
        </w:numPr>
        <w:spacing w:after="80"/>
      </w:pPr>
      <w:r>
        <w:rPr>
          <w:rFonts w:ascii="Arial" w:cs="Arial" w:eastAsia="Arial" w:hAnsi="Arial"/>
          <w:sz w:val="22"/>
          <w:szCs w:val="22"/>
        </w:rPr>
        <w:t xml:space="preserve">Educational narrative tone</w:t>
      </w:r>
    </w:p>
    <w:p>
      <w:pPr>
        <w:pStyle w:val="ListParagraph"/>
        <w:numPr>
          <w:ilvl w:val="0"/>
          <w:numId w:val="2"/>
        </w:numPr>
        <w:spacing w:after="80"/>
      </w:pPr>
      <w:r>
        <w:rPr>
          <w:rFonts w:ascii="Arial" w:cs="Arial" w:eastAsia="Arial" w:hAnsi="Arial"/>
          <w:sz w:val="22"/>
          <w:szCs w:val="22"/>
        </w:rPr>
        <w:t xml:space="preserve">Active voice, present tense for historical scenes</w:t>
      </w:r>
    </w:p>
    <w:p>
      <w:pPr>
        <w:pStyle w:val="ListParagraph"/>
        <w:numPr>
          <w:ilvl w:val="0"/>
          <w:numId w:val="2"/>
        </w:numPr>
        <w:spacing w:after="80"/>
      </w:pPr>
      <w:r>
        <w:rPr>
          <w:rFonts w:ascii="Arial" w:cs="Arial" w:eastAsia="Arial" w:hAnsi="Arial"/>
          <w:sz w:val="22"/>
          <w:szCs w:val="22"/>
        </w:rPr>
        <w:t xml:space="preserve">Vocabulary at high school reading level</w:t>
      </w:r>
    </w:p>
    <w:p>
      <w:pPr>
        <w:pStyle w:val="ListParagraph"/>
        <w:numPr>
          <w:ilvl w:val="0"/>
          <w:numId w:val="2"/>
        </w:numPr>
        <w:spacing w:after="80"/>
      </w:pPr>
      <w:r>
        <w:rPr>
          <w:rFonts w:ascii="Arial" w:cs="Arial" w:eastAsia="Arial" w:hAnsi="Arial"/>
          <w:sz w:val="22"/>
          <w:szCs w:val="22"/>
        </w:rPr>
        <w:t xml:space="preserve">No casual peer to peer phrasing</w:t>
      </w:r>
    </w:p>
    <w:p>
      <w:pPr>
        <w:pStyle w:val="ListParagraph"/>
        <w:numPr>
          <w:ilvl w:val="0"/>
          <w:numId w:val="2"/>
        </w:numPr>
        <w:spacing w:after="80"/>
      </w:pPr>
      <w:r>
        <w:rPr>
          <w:rFonts w:ascii="Arial" w:cs="Arial" w:eastAsia="Arial" w:hAnsi="Arial"/>
          <w:sz w:val="22"/>
          <w:szCs w:val="22"/>
        </w:rPr>
        <w:t xml:space="preserve">No working trade jargon</w:t>
      </w:r>
    </w:p>
    <w:p>
      <w:pPr>
        <w:pStyle w:val="ListParagraph"/>
        <w:numPr>
          <w:ilvl w:val="0"/>
          <w:numId w:val="2"/>
        </w:numPr>
        <w:spacing w:after="80"/>
      </w:pPr>
      <w:r>
        <w:rPr>
          <w:rFonts w:ascii="Arial" w:cs="Arial" w:eastAsia="Arial" w:hAnsi="Arial"/>
          <w:sz w:val="22"/>
          <w:szCs w:val="22"/>
        </w:rPr>
        <w:t xml:space="preserve">Sample passages drawn from real history writing for that age range</w:t>
      </w:r>
    </w:p>
    <w:p>
      <w:pPr>
        <w:spacing w:after="120"/>
      </w:pPr>
      <w:r>
        <w:rPr>
          <w:rFonts w:ascii="Arial" w:cs="Arial" w:eastAsia="Arial" w:hAnsi="Arial"/>
          <w:sz w:val="22"/>
          <w:szCs w:val="22"/>
        </w:rPr>
        <w:t xml:space="preserve">This voice is intentionally different from the live event voice. Same toolkit, different output.</w:t>
      </w:r>
    </w:p>
    <w:p>
      <w:pPr>
        <w:pStyle w:val="Heading2"/>
        <w:spacing w:after="140" w:before="280"/>
      </w:pPr>
      <w:r>
        <w:rPr>
          <w:rFonts w:ascii="Arial" w:cs="Arial" w:eastAsia="Arial" w:hAnsi="Arial"/>
          <w:b/>
          <w:bCs/>
          <w:sz w:val="26"/>
          <w:szCs w:val="26"/>
        </w:rPr>
        <w:t xml:space="preserve">3.3 Course Structure</w:t>
      </w:r>
    </w:p>
    <w:p>
      <w:pPr>
        <w:spacing w:after="120"/>
      </w:pPr>
      <w:r>
        <w:rPr>
          <w:rFonts w:ascii="Arial" w:cs="Arial" w:eastAsia="Arial" w:hAnsi="Arial"/>
          <w:sz w:val="22"/>
          <w:szCs w:val="22"/>
        </w:rPr>
        <w:t xml:space="preserve">Suggested structure for the American Revolution example:</w:t>
      </w:r>
    </w:p>
    <w:p>
      <w:pPr>
        <w:spacing w:after="120"/>
      </w:pPr>
      <w:r>
        <w:rPr>
          <w:rFonts w:ascii="Arial" w:cs="Arial" w:eastAsia="Arial" w:hAnsi="Arial"/>
          <w:sz w:val="22"/>
          <w:szCs w:val="22"/>
        </w:rPr>
        <w:t xml:space="preserve">Unit 1: Causes of the Revolution</w:t>
      </w:r>
    </w:p>
    <w:p>
      <w:pPr>
        <w:pStyle w:val="ListParagraph"/>
        <w:numPr>
          <w:ilvl w:val="0"/>
          <w:numId w:val="2"/>
        </w:numPr>
        <w:spacing w:after="80"/>
      </w:pPr>
      <w:r>
        <w:rPr>
          <w:rFonts w:ascii="Arial" w:cs="Arial" w:eastAsia="Arial" w:hAnsi="Arial"/>
          <w:sz w:val="22"/>
          <w:szCs w:val="22"/>
        </w:rPr>
        <w:t xml:space="preserve">Lesson 1: Colonial life before 1763</w:t>
      </w:r>
    </w:p>
    <w:p>
      <w:pPr>
        <w:pStyle w:val="ListParagraph"/>
        <w:numPr>
          <w:ilvl w:val="0"/>
          <w:numId w:val="2"/>
        </w:numPr>
        <w:spacing w:after="80"/>
      </w:pPr>
      <w:r>
        <w:rPr>
          <w:rFonts w:ascii="Arial" w:cs="Arial" w:eastAsia="Arial" w:hAnsi="Arial"/>
          <w:sz w:val="22"/>
          <w:szCs w:val="22"/>
        </w:rPr>
        <w:t xml:space="preserve">Lesson 2: Acts of Parliament and colonial response</w:t>
      </w:r>
    </w:p>
    <w:p>
      <w:pPr>
        <w:pStyle w:val="ListParagraph"/>
        <w:numPr>
          <w:ilvl w:val="0"/>
          <w:numId w:val="2"/>
        </w:numPr>
        <w:spacing w:after="80"/>
      </w:pPr>
      <w:r>
        <w:rPr>
          <w:rFonts w:ascii="Arial" w:cs="Arial" w:eastAsia="Arial" w:hAnsi="Arial"/>
          <w:sz w:val="22"/>
          <w:szCs w:val="22"/>
        </w:rPr>
        <w:t xml:space="preserve">Lesson 3: From protest to rebellion</w:t>
      </w:r>
    </w:p>
    <w:p>
      <w:pPr>
        <w:pStyle w:val="ListParagraph"/>
        <w:numPr>
          <w:ilvl w:val="0"/>
          <w:numId w:val="2"/>
        </w:numPr>
        <w:spacing w:after="80"/>
      </w:pPr>
      <w:r>
        <w:rPr>
          <w:rFonts w:ascii="Arial" w:cs="Arial" w:eastAsia="Arial" w:hAnsi="Arial"/>
          <w:sz w:val="22"/>
          <w:szCs w:val="22"/>
        </w:rPr>
        <w:t xml:space="preserve">Knowledge check: 8 to 10 questions covering the unit</w:t>
      </w:r>
    </w:p>
    <w:p>
      <w:pPr>
        <w:spacing w:after="120"/>
      </w:pPr>
      <w:r>
        <w:rPr>
          <w:rFonts w:ascii="Arial" w:cs="Arial" w:eastAsia="Arial" w:hAnsi="Arial"/>
          <w:sz w:val="22"/>
          <w:szCs w:val="22"/>
        </w:rPr>
        <w:t xml:space="preserve">Unit 2: The War for Independence</w:t>
      </w:r>
    </w:p>
    <w:p>
      <w:pPr>
        <w:pStyle w:val="ListParagraph"/>
        <w:numPr>
          <w:ilvl w:val="0"/>
          <w:numId w:val="2"/>
        </w:numPr>
        <w:spacing w:after="80"/>
      </w:pPr>
      <w:r>
        <w:rPr>
          <w:rFonts w:ascii="Arial" w:cs="Arial" w:eastAsia="Arial" w:hAnsi="Arial"/>
          <w:sz w:val="22"/>
          <w:szCs w:val="22"/>
        </w:rPr>
        <w:t xml:space="preserve">Lesson 1: Lexington and Concord to Bunker Hill</w:t>
      </w:r>
    </w:p>
    <w:p>
      <w:pPr>
        <w:pStyle w:val="ListParagraph"/>
        <w:numPr>
          <w:ilvl w:val="0"/>
          <w:numId w:val="2"/>
        </w:numPr>
        <w:spacing w:after="80"/>
      </w:pPr>
      <w:r>
        <w:rPr>
          <w:rFonts w:ascii="Arial" w:cs="Arial" w:eastAsia="Arial" w:hAnsi="Arial"/>
          <w:sz w:val="22"/>
          <w:szCs w:val="22"/>
        </w:rPr>
        <w:t xml:space="preserve">Lesson 2: Major campaigns and turning points</w:t>
      </w:r>
    </w:p>
    <w:p>
      <w:pPr>
        <w:pStyle w:val="ListParagraph"/>
        <w:numPr>
          <w:ilvl w:val="0"/>
          <w:numId w:val="2"/>
        </w:numPr>
        <w:spacing w:after="80"/>
      </w:pPr>
      <w:r>
        <w:rPr>
          <w:rFonts w:ascii="Arial" w:cs="Arial" w:eastAsia="Arial" w:hAnsi="Arial"/>
          <w:sz w:val="22"/>
          <w:szCs w:val="22"/>
        </w:rPr>
        <w:t xml:space="preserve">Lesson 3: Yorktown and the path to peace</w:t>
      </w:r>
    </w:p>
    <w:p>
      <w:pPr>
        <w:pStyle w:val="ListParagraph"/>
        <w:numPr>
          <w:ilvl w:val="0"/>
          <w:numId w:val="2"/>
        </w:numPr>
        <w:spacing w:after="80"/>
      </w:pPr>
      <w:r>
        <w:rPr>
          <w:rFonts w:ascii="Arial" w:cs="Arial" w:eastAsia="Arial" w:hAnsi="Arial"/>
          <w:sz w:val="22"/>
          <w:szCs w:val="22"/>
        </w:rPr>
        <w:t xml:space="preserve">Knowledge check: 8 to 10 questions covering the unit</w:t>
      </w:r>
    </w:p>
    <w:p>
      <w:pPr>
        <w:spacing w:after="120"/>
      </w:pPr>
      <w:r>
        <w:rPr>
          <w:rFonts w:ascii="Arial" w:cs="Arial" w:eastAsia="Arial" w:hAnsi="Arial"/>
          <w:sz w:val="22"/>
          <w:szCs w:val="22"/>
        </w:rPr>
        <w:t xml:space="preserve">Final assessment: 50 question bank, 25 drawn per attempt, scenario based questions like "you are a delegate from Pennsylvania in 1776, what argument do you make."</w:t>
      </w:r>
    </w:p>
    <w:p>
      <w:pPr>
        <w:pStyle w:val="Heading2"/>
        <w:spacing w:after="140" w:before="280"/>
      </w:pPr>
      <w:r>
        <w:rPr>
          <w:rFonts w:ascii="Arial" w:cs="Arial" w:eastAsia="Arial" w:hAnsi="Arial"/>
          <w:b/>
          <w:bCs/>
          <w:sz w:val="26"/>
          <w:szCs w:val="26"/>
        </w:rPr>
        <w:t xml:space="preserve">3.4 Visual Aids to Use</w:t>
      </w:r>
    </w:p>
    <w:p>
      <w:pPr>
        <w:spacing w:after="120"/>
      </w:pPr>
      <w:r>
        <w:rPr>
          <w:rFonts w:ascii="Arial" w:cs="Arial" w:eastAsia="Arial" w:hAnsi="Arial"/>
          <w:sz w:val="22"/>
          <w:szCs w:val="22"/>
        </w:rPr>
        <w:t xml:space="preserve">Diagrams (Mermaid):</w:t>
      </w:r>
    </w:p>
    <w:p>
      <w:pPr>
        <w:pStyle w:val="ListParagraph"/>
        <w:numPr>
          <w:ilvl w:val="0"/>
          <w:numId w:val="2"/>
        </w:numPr>
        <w:spacing w:after="80"/>
      </w:pPr>
      <w:r>
        <w:rPr>
          <w:rFonts w:ascii="Arial" w:cs="Arial" w:eastAsia="Arial" w:hAnsi="Arial"/>
          <w:sz w:val="22"/>
          <w:szCs w:val="22"/>
        </w:rPr>
        <w:t xml:space="preserve">Causal flowchart of British actions and colonial responses</w:t>
      </w:r>
    </w:p>
    <w:p>
      <w:pPr>
        <w:pStyle w:val="ListParagraph"/>
        <w:numPr>
          <w:ilvl w:val="0"/>
          <w:numId w:val="2"/>
        </w:numPr>
        <w:spacing w:after="80"/>
      </w:pPr>
      <w:r>
        <w:rPr>
          <w:rFonts w:ascii="Arial" w:cs="Arial" w:eastAsia="Arial" w:hAnsi="Arial"/>
          <w:sz w:val="22"/>
          <w:szCs w:val="22"/>
        </w:rPr>
        <w:t xml:space="preserve">Sequence diagram of the events at Lexington and Concord</w:t>
      </w:r>
    </w:p>
    <w:p>
      <w:pPr>
        <w:pStyle w:val="ListParagraph"/>
        <w:numPr>
          <w:ilvl w:val="0"/>
          <w:numId w:val="2"/>
        </w:numPr>
        <w:spacing w:after="80"/>
      </w:pPr>
      <w:r>
        <w:rPr>
          <w:rFonts w:ascii="Arial" w:cs="Arial" w:eastAsia="Arial" w:hAnsi="Arial"/>
          <w:sz w:val="22"/>
          <w:szCs w:val="22"/>
        </w:rPr>
        <w:t xml:space="preserve">Decision tree showing why colonies chose to stay loyal or rebel</w:t>
      </w:r>
    </w:p>
    <w:p>
      <w:pPr>
        <w:spacing w:after="120"/>
      </w:pPr>
      <w:r>
        <w:rPr>
          <w:rFonts w:ascii="Arial" w:cs="Arial" w:eastAsia="Arial" w:hAnsi="Arial"/>
          <w:sz w:val="22"/>
          <w:szCs w:val="22"/>
        </w:rPr>
        <w:t xml:space="preserve">MicroSims:</w:t>
      </w:r>
    </w:p>
    <w:p>
      <w:pPr>
        <w:pStyle w:val="ListParagraph"/>
        <w:numPr>
          <w:ilvl w:val="0"/>
          <w:numId w:val="2"/>
        </w:numPr>
        <w:spacing w:after="80"/>
      </w:pPr>
      <w:r>
        <w:rPr>
          <w:rFonts w:ascii="Arial" w:cs="Arial" w:eastAsia="Arial" w:hAnsi="Arial"/>
          <w:sz w:val="22"/>
          <w:szCs w:val="22"/>
        </w:rPr>
        <w:t xml:space="preserve">timeline-scrubber for the war years (1775 to 1783) with major events</w:t>
      </w:r>
    </w:p>
    <w:p>
      <w:pPr>
        <w:pStyle w:val="ListParagraph"/>
        <w:numPr>
          <w:ilvl w:val="0"/>
          <w:numId w:val="2"/>
        </w:numPr>
        <w:spacing w:after="80"/>
      </w:pPr>
      <w:r>
        <w:rPr>
          <w:rFonts w:ascii="Arial" w:cs="Arial" w:eastAsia="Arial" w:hAnsi="Arial"/>
          <w:sz w:val="22"/>
          <w:szCs w:val="22"/>
        </w:rPr>
        <w:t xml:space="preserve">flashcard-deck for founding figures and key events</w:t>
      </w:r>
    </w:p>
    <w:p>
      <w:pPr>
        <w:pStyle w:val="ListParagraph"/>
        <w:numPr>
          <w:ilvl w:val="0"/>
          <w:numId w:val="2"/>
        </w:numPr>
        <w:spacing w:after="80"/>
      </w:pPr>
      <w:r>
        <w:rPr>
          <w:rFonts w:ascii="Arial" w:cs="Arial" w:eastAsia="Arial" w:hAnsi="Arial"/>
          <w:sz w:val="22"/>
          <w:szCs w:val="22"/>
        </w:rPr>
        <w:t xml:space="preserve">decision-tree-explorer for "you are a delegate at the Continental Congress, what do you argue"</w:t>
      </w:r>
    </w:p>
    <w:p>
      <w:pPr>
        <w:pStyle w:val="ListParagraph"/>
        <w:numPr>
          <w:ilvl w:val="0"/>
          <w:numId w:val="2"/>
        </w:numPr>
        <w:spacing w:after="80"/>
      </w:pPr>
      <w:r>
        <w:rPr>
          <w:rFonts w:ascii="Arial" w:cs="Arial" w:eastAsia="Arial" w:hAnsi="Arial"/>
          <w:sz w:val="22"/>
          <w:szCs w:val="22"/>
        </w:rPr>
        <w:t xml:space="preserve">formula-explorer for "how many men can a colony field given population N and willing rate W"</w:t>
      </w:r>
    </w:p>
    <w:p>
      <w:pPr>
        <w:spacing w:after="120"/>
      </w:pPr>
      <w:r>
        <w:rPr>
          <w:rFonts w:ascii="Arial" w:cs="Arial" w:eastAsia="Arial" w:hAnsi="Arial"/>
          <w:sz w:val="22"/>
          <w:szCs w:val="22"/>
        </w:rPr>
        <w:t xml:space="preserve">The MicroSim choices show the templates work for non technical content.</w:t>
      </w:r>
    </w:p>
    <w:p>
      <w:pPr>
        <w:pStyle w:val="Heading2"/>
        <w:spacing w:after="140" w:before="280"/>
      </w:pPr>
      <w:r>
        <w:rPr>
          <w:rFonts w:ascii="Arial" w:cs="Arial" w:eastAsia="Arial" w:hAnsi="Arial"/>
          <w:b/>
          <w:bCs/>
          <w:sz w:val="26"/>
          <w:szCs w:val="26"/>
        </w:rPr>
        <w:t xml:space="preserve">3.5 Output Location</w:t>
      </w:r>
    </w:p>
    <w:p>
      <w:pPr>
        <w:spacing w:after="120"/>
      </w:pPr>
      <w:r>
        <w:rPr>
          <w:rFonts w:ascii="Arial" w:cs="Arial" w:eastAsia="Arial" w:hAnsi="Arial"/>
          <w:sz w:val="22"/>
          <w:szCs w:val="22"/>
        </w:rPr>
        <w:t xml:space="preserve">examples/sample-us-history-course/. Same structure as live-event-technician-test-course. Self contained, no dependencies on the live event course.</w:t>
      </w:r>
    </w:p>
    <w:p>
      <w:pPr>
        <w:pStyle w:val="Heading2"/>
        <w:spacing w:after="140" w:before="280"/>
      </w:pPr>
      <w:r>
        <w:rPr>
          <w:rFonts w:ascii="Arial" w:cs="Arial" w:eastAsia="Arial" w:hAnsi="Arial"/>
          <w:b/>
          <w:bCs/>
          <w:sz w:val="26"/>
          <w:szCs w:val="26"/>
        </w:rPr>
        <w:t xml:space="preserve">3.6 Effort</w:t>
      </w:r>
    </w:p>
    <w:p>
      <w:pPr>
        <w:spacing w:after="120"/>
      </w:pPr>
      <w:r>
        <w:rPr>
          <w:rFonts w:ascii="Arial" w:cs="Arial" w:eastAsia="Arial" w:hAnsi="Arial"/>
          <w:sz w:val="22"/>
          <w:szCs w:val="22"/>
        </w:rPr>
        <w:t xml:space="preserve">About 3 to 4 hours of Claude Code work. Lessons drafted by lesson-drafter, knowledge checks by quiz-builder, diagrams by diagram-builder, MicroSims by microsim-builder, final by final-assessment-builder. The toolkit does its own work; this is a real exercise of the workflow.</w:t>
      </w:r>
    </w:p>
    <w:p>
      <w:pPr>
        <w:pStyle w:val="Heading2"/>
        <w:spacing w:after="140" w:before="280"/>
      </w:pPr>
      <w:r>
        <w:rPr>
          <w:rFonts w:ascii="Arial" w:cs="Arial" w:eastAsia="Arial" w:hAnsi="Arial"/>
          <w:b/>
          <w:bCs/>
          <w:sz w:val="26"/>
          <w:szCs w:val="26"/>
        </w:rPr>
        <w:t xml:space="preserve">3.7 Validation Criteria</w:t>
      </w:r>
    </w:p>
    <w:p>
      <w:pPr>
        <w:pStyle w:val="ListParagraph"/>
        <w:numPr>
          <w:ilvl w:val="0"/>
          <w:numId w:val="2"/>
        </w:numPr>
        <w:spacing w:after="80"/>
      </w:pPr>
      <w:r>
        <w:rPr>
          <w:rFonts w:ascii="Arial" w:cs="Arial" w:eastAsia="Arial" w:hAnsi="Arial"/>
          <w:sz w:val="22"/>
          <w:szCs w:val="22"/>
        </w:rPr>
        <w:t xml:space="preserve">All toolkit skills work without modification on the new subject</w:t>
      </w:r>
    </w:p>
    <w:p>
      <w:pPr>
        <w:pStyle w:val="ListParagraph"/>
        <w:numPr>
          <w:ilvl w:val="0"/>
          <w:numId w:val="2"/>
        </w:numPr>
        <w:spacing w:after="80"/>
      </w:pPr>
      <w:r>
        <w:rPr>
          <w:rFonts w:ascii="Arial" w:cs="Arial" w:eastAsia="Arial" w:hAnsi="Arial"/>
          <w:sz w:val="22"/>
          <w:szCs w:val="22"/>
        </w:rPr>
        <w:t xml:space="preserve">Voice guide for the history course produces output noticeably different in tone from the live event course</w:t>
      </w:r>
    </w:p>
    <w:p>
      <w:pPr>
        <w:pStyle w:val="ListParagraph"/>
        <w:numPr>
          <w:ilvl w:val="0"/>
          <w:numId w:val="2"/>
        </w:numPr>
        <w:spacing w:after="80"/>
      </w:pPr>
      <w:r>
        <w:rPr>
          <w:rFonts w:ascii="Arial" w:cs="Arial" w:eastAsia="Arial" w:hAnsi="Arial"/>
          <w:sz w:val="22"/>
          <w:szCs w:val="22"/>
        </w:rPr>
        <w:t xml:space="preserve">All diagram types and MicroSim templates produce sensible output for historical content</w:t>
      </w:r>
    </w:p>
    <w:p>
      <w:pPr>
        <w:pStyle w:val="ListParagraph"/>
        <w:numPr>
          <w:ilvl w:val="0"/>
          <w:numId w:val="2"/>
        </w:numPr>
        <w:spacing w:after="80"/>
      </w:pPr>
      <w:r>
        <w:rPr>
          <w:rFonts w:ascii="Arial" w:cs="Arial" w:eastAsia="Arial" w:hAnsi="Arial"/>
          <w:sz w:val="22"/>
          <w:szCs w:val="22"/>
        </w:rPr>
        <w:t xml:space="preserve">Static web preview renders the course as a real reading experience</w:t>
      </w:r>
    </w:p>
    <w:p>
      <w:pPr>
        <w:pStyle w:val="ListParagraph"/>
        <w:numPr>
          <w:ilvl w:val="0"/>
          <w:numId w:val="2"/>
        </w:numPr>
        <w:spacing w:after="80"/>
      </w:pPr>
      <w:r>
        <w:rPr>
          <w:rFonts w:ascii="Arial" w:cs="Arial" w:eastAsia="Arial" w:hAnsi="Arial"/>
          <w:sz w:val="22"/>
          <w:szCs w:val="22"/>
        </w:rPr>
        <w:t xml:space="preserve">Course passes bes validate</w:t>
      </w:r>
    </w:p>
    <w:p>
      <w:pPr>
        <w:spacing w:after="120"/>
      </w:pPr>
      <w:r>
        <w:rPr>
          <w:rFonts w:ascii="Arial" w:cs="Arial" w:eastAsia="Arial" w:hAnsi="Arial"/>
          <w:sz w:val="22"/>
          <w:szCs w:val="22"/>
        </w:rPr>
        <w:t xml:space="preserve">If any of these fail, those failures feed back into the audit (Part 1).</w:t>
      </w:r>
    </w:p>
    <w:p>
      <w:pPr>
        <w:pStyle w:val="Heading1"/>
        <w:spacing w:after="180" w:before="360"/>
      </w:pPr>
      <w:r>
        <w:rPr>
          <w:rFonts w:ascii="Arial" w:cs="Arial" w:eastAsia="Arial" w:hAnsi="Arial"/>
          <w:b/>
          <w:bCs/>
          <w:sz w:val="32"/>
          <w:szCs w:val="32"/>
        </w:rPr>
        <w:t xml:space="preserve">4. Implementation Order</w:t>
      </w:r>
    </w:p>
    <w:p>
      <w:pPr>
        <w:pStyle w:val="ListParagraph"/>
        <w:numPr>
          <w:ilvl w:val="0"/>
          <w:numId w:val="3"/>
        </w:numPr>
        <w:spacing w:after="80"/>
      </w:pPr>
      <w:r>
        <w:rPr>
          <w:rFonts w:ascii="Arial" w:cs="Arial" w:eastAsia="Arial" w:hAnsi="Arial"/>
          <w:sz w:val="22"/>
          <w:szCs w:val="22"/>
        </w:rPr>
        <w:t xml:space="preserve">Audit (Part 1) first. Identify and fix any stagehand assumptions before building the sample course. Otherwise the sample course exercises a flawed toolkit.</w:t>
      </w:r>
    </w:p>
    <w:p>
      <w:pPr>
        <w:pStyle w:val="ListParagraph"/>
        <w:numPr>
          <w:ilvl w:val="0"/>
          <w:numId w:val="3"/>
        </w:numPr>
        <w:spacing w:after="80"/>
      </w:pPr>
      <w:r>
        <w:rPr>
          <w:rFonts w:ascii="Arial" w:cs="Arial" w:eastAsia="Arial" w:hAnsi="Arial"/>
          <w:sz w:val="22"/>
          <w:szCs w:val="22"/>
        </w:rPr>
        <w:t xml:space="preserve">Sample US History course (Part 2) second. Real validation of the audited toolkit.</w:t>
      </w:r>
    </w:p>
    <w:p>
      <w:pPr>
        <w:pStyle w:val="ListParagraph"/>
        <w:numPr>
          <w:ilvl w:val="0"/>
          <w:numId w:val="3"/>
        </w:numPr>
        <w:spacing w:after="80"/>
      </w:pPr>
      <w:r>
        <w:rPr>
          <w:rFonts w:ascii="Arial" w:cs="Arial" w:eastAsia="Arial" w:hAnsi="Arial"/>
          <w:sz w:val="22"/>
          <w:szCs w:val="22"/>
        </w:rPr>
        <w:t xml:space="preserve">If issues surface during the sample course build, loop back to Part 1 and patch.</w:t>
      </w:r>
    </w:p>
    <w:p>
      <w:pPr>
        <w:pStyle w:val="Heading1"/>
        <w:spacing w:after="180" w:before="360"/>
      </w:pPr>
      <w:r>
        <w:rPr>
          <w:rFonts w:ascii="Arial" w:cs="Arial" w:eastAsia="Arial" w:hAnsi="Arial"/>
          <w:b/>
          <w:bCs/>
          <w:sz w:val="32"/>
          <w:szCs w:val="32"/>
        </w:rPr>
        <w:t xml:space="preserve">5. Risk Notes</w:t>
      </w:r>
    </w:p>
    <w:p>
      <w:pPr>
        <w:spacing w:after="120"/>
      </w:pPr>
      <w:r>
        <w:rPr>
          <w:rFonts w:ascii="Arial" w:cs="Arial" w:eastAsia="Arial" w:hAnsi="Arial"/>
          <w:b/>
          <w:bCs/>
          <w:sz w:val="22"/>
          <w:szCs w:val="22"/>
        </w:rPr>
        <w:t xml:space="preserve">Voice rewrite scope: </w:t>
      </w:r>
      <w:r>
        <w:rPr>
          <w:rFonts w:ascii="Arial" w:cs="Arial" w:eastAsia="Arial" w:hAnsi="Arial"/>
          <w:sz w:val="22"/>
          <w:szCs w:val="22"/>
        </w:rPr>
        <w:t xml:space="preserve">lesson-drafter pulls heavily from voice-guide.md. If the toolkit has hidden assumptions about voice patterns (informal contraction style, working trade vocabulary), the audit must catch them, not the sample course.</w:t>
      </w:r>
    </w:p>
    <w:p>
      <w:pPr>
        <w:spacing w:after="120"/>
      </w:pPr>
      <w:r>
        <w:rPr>
          <w:rFonts w:ascii="Arial" w:cs="Arial" w:eastAsia="Arial" w:hAnsi="Arial"/>
          <w:b/>
          <w:bCs/>
          <w:sz w:val="22"/>
          <w:szCs w:val="22"/>
        </w:rPr>
        <w:t xml:space="preserve">Question style scope: </w:t>
      </w:r>
      <w:r>
        <w:rPr>
          <w:rFonts w:ascii="Arial" w:cs="Arial" w:eastAsia="Arial" w:hAnsi="Arial"/>
          <w:sz w:val="22"/>
          <w:szCs w:val="22"/>
        </w:rPr>
        <w:t xml:space="preserve">quiz-builder generates scenario based questions by default. Scenarios work for history (you are a delegate, you are a soldier at Trenton) but may need broader templates for other domains (concept comparison, ordering, identification).</w:t>
      </w:r>
    </w:p>
    <w:p>
      <w:pPr>
        <w:spacing w:after="120"/>
      </w:pPr>
      <w:r>
        <w:rPr>
          <w:rFonts w:ascii="Arial" w:cs="Arial" w:eastAsia="Arial" w:hAnsi="Arial"/>
          <w:b/>
          <w:bCs/>
          <w:sz w:val="22"/>
          <w:szCs w:val="22"/>
        </w:rPr>
        <w:t xml:space="preserve">Audience age handling: </w:t>
      </w:r>
      <w:r>
        <w:rPr>
          <w:rFonts w:ascii="Arial" w:cs="Arial" w:eastAsia="Arial" w:hAnsi="Arial"/>
          <w:sz w:val="22"/>
          <w:szCs w:val="22"/>
        </w:rPr>
        <w:t xml:space="preserve">a high school history course implies different complexity than an adult trade course. The toolkit should not silently default to adult reading level. Verify the audience setting in voice-guide.md actually shapes the output.</w:t>
      </w:r>
    </w:p>
    <w:p>
      <w:pPr>
        <w:spacing w:after="120"/>
      </w:pPr>
      <w:r>
        <w:rPr>
          <w:rFonts w:ascii="Arial" w:cs="Arial" w:eastAsia="Arial" w:hAnsi="Arial"/>
          <w:b/>
          <w:bCs/>
          <w:sz w:val="22"/>
          <w:szCs w:val="22"/>
        </w:rPr>
        <w:t xml:space="preserve">Multi language deferred: </w:t>
      </w:r>
      <w:r>
        <w:rPr>
          <w:rFonts w:ascii="Arial" w:cs="Arial" w:eastAsia="Arial" w:hAnsi="Arial"/>
          <w:sz w:val="22"/>
          <w:szCs w:val="22"/>
        </w:rPr>
        <w:t xml:space="preserve">Phase 10 stays in English. International translation would be Phase 12 or later.</w:t>
      </w:r>
    </w:p>
    <w:p>
      <w:pPr>
        <w:pStyle w:val="Heading1"/>
        <w:spacing w:after="180" w:before="360"/>
      </w:pPr>
      <w:r>
        <w:rPr>
          <w:rFonts w:ascii="Arial" w:cs="Arial" w:eastAsia="Arial" w:hAnsi="Arial"/>
          <w:b/>
          <w:bCs/>
          <w:sz w:val="32"/>
          <w:szCs w:val="32"/>
        </w:rPr>
        <w:t xml:space="preserve">6. Launch Instruction for Claude Code</w:t>
      </w:r>
    </w:p>
    <w:p>
      <w:pPr>
        <w:spacing w:after="120"/>
      </w:pPr>
      <w:r>
        <w:rPr>
          <w:rFonts w:ascii="Arial" w:cs="Arial" w:eastAsia="Arial" w:hAnsi="Arial"/>
          <w:sz w:val="22"/>
          <w:szCs w:val="22"/>
        </w:rPr>
        <w:t xml:space="preserve">When you are ready to implement Phase 10, paste this into Claude Code in the toolkit folder:</w:t>
      </w:r>
    </w:p>
    <w:p>
      <w:pPr>
        <w:pBdr>
          <w:left w:val="single" w:color="D6006C" w:sz="12" w:space="8"/>
        </w:pBdr>
        <w:spacing w:after="120" w:before="120"/>
        <w:ind w:left="360"/>
      </w:pPr>
      <w:r>
        <w:rPr>
          <w:rFonts w:ascii="Arial" w:cs="Arial" w:eastAsia="Arial" w:hAnsi="Arial"/>
          <w:i/>
          <w:iCs/>
          <w:sz w:val="22"/>
          <w:szCs w:val="22"/>
        </w:rPr>
        <w:t xml:space="preserve">Read /Users/william.larsen/Code/backstage-essentials-toolkit/docs/Backstage_Essentials_Toolkit_Phase10_SubjectNeutrality.docx and implement Phase 10 Subject Neutrality Validation per Sections 2 and 3. Part 1: audit the toolkit for stagehand specific assumptions and generalize. Part 2: build a sample US History course in examples/sample-us-history-course/ exercising every toolkit feature with a high school audience and educational narrative voice. Commit and push after each major step. Report what was found in the audit and what was changed.</w:t>
      </w:r>
    </w:p>
    <w:p>
      <w:pPr>
        <w:pStyle w:val="Heading1"/>
        <w:spacing w:after="180" w:before="360"/>
      </w:pPr>
      <w:r>
        <w:rPr>
          <w:rFonts w:ascii="Arial" w:cs="Arial" w:eastAsia="Arial" w:hAnsi="Arial"/>
          <w:b/>
          <w:bCs/>
          <w:sz w:val="32"/>
          <w:szCs w:val="32"/>
        </w:rPr>
        <w:t xml:space="preserve">7. Done Definition</w:t>
      </w:r>
    </w:p>
    <w:p>
      <w:pPr>
        <w:pStyle w:val="ListParagraph"/>
        <w:numPr>
          <w:ilvl w:val="0"/>
          <w:numId w:val="2"/>
        </w:numPr>
        <w:spacing w:after="80"/>
      </w:pPr>
      <w:r>
        <w:rPr>
          <w:rFonts w:ascii="Arial" w:cs="Arial" w:eastAsia="Arial" w:hAnsi="Arial"/>
          <w:sz w:val="22"/>
          <w:szCs w:val="22"/>
        </w:rPr>
        <w:t xml:space="preserve">docs/phase-10-audit.md exists listing audit findings and fixes</w:t>
      </w:r>
    </w:p>
    <w:p>
      <w:pPr>
        <w:pStyle w:val="ListParagraph"/>
        <w:numPr>
          <w:ilvl w:val="0"/>
          <w:numId w:val="2"/>
        </w:numPr>
        <w:spacing w:after="80"/>
      </w:pPr>
      <w:r>
        <w:rPr>
          <w:rFonts w:ascii="Arial" w:cs="Arial" w:eastAsia="Arial" w:hAnsi="Arial"/>
          <w:sz w:val="22"/>
          <w:szCs w:val="22"/>
        </w:rPr>
        <w:t xml:space="preserve">All flagged stagehand specific language in skill files, command help, examples, and docs has been generalized</w:t>
      </w:r>
    </w:p>
    <w:p>
      <w:pPr>
        <w:pStyle w:val="ListParagraph"/>
        <w:numPr>
          <w:ilvl w:val="0"/>
          <w:numId w:val="2"/>
        </w:numPr>
        <w:spacing w:after="80"/>
      </w:pPr>
      <w:r>
        <w:rPr>
          <w:rFonts w:ascii="Arial" w:cs="Arial" w:eastAsia="Arial" w:hAnsi="Arial"/>
          <w:sz w:val="22"/>
          <w:szCs w:val="22"/>
        </w:rPr>
        <w:t xml:space="preserve">examples/sample-us-history-course/ exists with two units, knowledge checks, a working final assessment, at least three diagrams, and at least three MicroSims</w:t>
      </w:r>
    </w:p>
    <w:p>
      <w:pPr>
        <w:pStyle w:val="ListParagraph"/>
        <w:numPr>
          <w:ilvl w:val="0"/>
          <w:numId w:val="2"/>
        </w:numPr>
        <w:spacing w:after="80"/>
      </w:pPr>
      <w:r>
        <w:rPr>
          <w:rFonts w:ascii="Arial" w:cs="Arial" w:eastAsia="Arial" w:hAnsi="Arial"/>
          <w:sz w:val="22"/>
          <w:szCs w:val="22"/>
        </w:rPr>
        <w:t xml:space="preserve">The sample course renders in static web preview correctly</w:t>
      </w:r>
    </w:p>
    <w:p>
      <w:pPr>
        <w:pStyle w:val="ListParagraph"/>
        <w:numPr>
          <w:ilvl w:val="0"/>
          <w:numId w:val="2"/>
        </w:numPr>
        <w:spacing w:after="80"/>
      </w:pPr>
      <w:r>
        <w:rPr>
          <w:rFonts w:ascii="Arial" w:cs="Arial" w:eastAsia="Arial" w:hAnsi="Arial"/>
          <w:sz w:val="22"/>
          <w:szCs w:val="22"/>
        </w:rPr>
        <w:t xml:space="preserve">Both repos (toolkit and any course repos modified) committed and pushed</w:t>
      </w:r>
    </w:p>
    <w:p>
      <w:pPr>
        <w:spacing w:before="480"/>
      </w:pPr>
      <w:r>
        <w:rPr>
          <w:rFonts w:ascii="Arial" w:cs="Arial" w:eastAsia="Arial" w:hAnsi="Arial"/>
          <w:sz w:val="22"/>
          <w:szCs w:val="22"/>
        </w:rPr>
        <w:t xml:space="preserve">Bill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Backstage Essentials Toolkit | Phase 10 Subject Neutrality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2026-05-04T20:08:39.864Z</dcterms:created>
  <dcterms:modified xsi:type="dcterms:W3CDTF">2026-05-04T20:08:39.864Z</dcterms:modified>
</cp:coreProperties>
</file>

<file path=docProps/custom.xml><?xml version="1.0" encoding="utf-8"?>
<Properties xmlns="http://schemas.openxmlformats.org/officeDocument/2006/custom-properties" xmlns:vt="http://schemas.openxmlformats.org/officeDocument/2006/docPropsVTypes"/>
</file>