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82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_Toc2822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_Toc2822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_Toc22464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_Toc22464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_Toc15244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_Toc15244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_Toc25449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_Toc25449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_Toc7809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_Toc7809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_Toc4062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_Toc25549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_Toc27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_Toc29259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_Toc29259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_Toc22562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_Toc22562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_Toc31834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_Toc31834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_Toc11688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_Toc11688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_Toc8780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_Toc8780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_Toc17253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_Toc17253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_Toc22781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_Toc22781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_Toc3006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_Toc15949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_Toc15949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_Toc5598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_Toc4700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_Toc4700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_Toc24701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_Toc24701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_Toc952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_Toc10206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_Toc10206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_Toc11737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_Toc11737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_Toc12497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_Toc12497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_Toc25759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_Toc24766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_Toc24766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_Toc31926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_Toc31926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_Toc13056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_Toc13056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_Toc0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_Toc0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_Toc24086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_Toc30333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_Toc30333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_Toc20351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_Toc20351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_Toc28488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_Toc28488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_Toc6960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_Toc6960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_Toc4767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_Toc4767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_Toc9226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_Toc3349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_Toc11453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_Toc11453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_Toc25947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_Toc25947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_Toc15603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_Toc15603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_Toc6464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_Toc6464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_Toc25798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_Toc993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_Toc30907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_Toc30907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_Toc24091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_Toc24091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_Toc29413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_Toc29624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_Toc29624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_Toc18911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_Toc18911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_Toc15095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_Toc15095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_Toc21684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_Toc21684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_Toc10589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_Toc10589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_Toc19188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_Toc19188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_Toc14314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_Toc14314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_Toc10886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_Toc10886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_Toc23085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_Toc22774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_Toc22774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_Toc1743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_Toc17493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_Toc9604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_Toc9604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_Toc5517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_Toc31484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_Toc31484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_Toc22823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_Toc22823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_Toc1394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_Toc5533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_Toc5533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_Toc10662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_Toc10662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_Toc21727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_Toc21727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_Toc15969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_Toc15969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_Toc7366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_Toc7366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_Toc23431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_Toc23431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_Toc20839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_Toc20839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_Toc22927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_Toc22927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_Toc17195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_Toc17195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_Toc458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_Toc3720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_Toc3720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_Toc7598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_Toc7598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_Toc25224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_Toc25224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_Toc17866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_Toc17866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_Toc11395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_Toc11395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_Toc5390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_Toc5390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_Toc23225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_Toc23225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_Toc19332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_Toc19332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_Toc13487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_Toc13487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_Toc950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_Toc32636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_Toc32636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_Toc30797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_Toc30797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_Toc5475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_Toc5475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_Toc947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_Toc947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_Toc4983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_Toc4983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_Toc4544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_Toc5398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_Toc5398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_Toc15280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_Toc15280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_Toc29821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_Toc29821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_Toc18683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_Toc18683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_Toc197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_Toc25543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_Toc25543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_Toc23821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_Toc23821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_Toc6550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_Toc6550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_Toc3223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_Toc3223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_Toc24347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_Toc24347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_Toc1956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_Toc1956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_Toc1466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_Toc1466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_Toc23703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_Toc23703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_Toc31763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_Toc31763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_Toc11029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_Toc11029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_Toc18583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_Toc18583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_Toc14249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_Toc14249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_Toc32284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_Toc32284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_Toc28796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_Toc28796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_Toc1575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_Toc1267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_Toc1267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2464"/>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5244"/>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25449"/>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7809"/>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4062"/>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5549"/>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7"/>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29259"/>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22562"/>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31834"/>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1168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8780"/>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25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2781"/>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3006"/>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5949"/>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5598"/>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4700"/>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24701"/>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952"/>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0206"/>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11737"/>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2497"/>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5759"/>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766"/>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1926"/>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05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0"/>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4086"/>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30333"/>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0351"/>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28488"/>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bookmarkStart w:id="111" w:name="_GoBack"/>
      <w:bookmarkEnd w:id="111"/>
    </w:p>
    <w:p>
      <w:pPr>
        <w:pStyle w:val="5"/>
        <w:bidi w:val="0"/>
        <w:rPr>
          <w:rFonts w:hint="default"/>
          <w:szCs w:val="22"/>
          <w:lang w:val="en-US"/>
        </w:rPr>
      </w:pPr>
      <w:bookmarkStart w:id="33" w:name="_Toc6960"/>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4767"/>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9226"/>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3349"/>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1453"/>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5947"/>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5603"/>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6464"/>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25798"/>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993"/>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30907"/>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24091"/>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2941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29624"/>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18911"/>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15095"/>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1684"/>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0589"/>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19188"/>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14314"/>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10886"/>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23085"/>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22774"/>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1743"/>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17493"/>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604"/>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5517"/>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31484"/>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22823"/>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94"/>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5533"/>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0662"/>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21727"/>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5969"/>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7366"/>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2343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839"/>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2927"/>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7195"/>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458"/>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720"/>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7598"/>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5224"/>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17866"/>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11395"/>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5390"/>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23225"/>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9332"/>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3487"/>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950"/>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32636"/>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30797"/>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5475"/>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947"/>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4983"/>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44"/>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5398"/>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280"/>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9821"/>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18683"/>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97"/>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25543"/>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3821"/>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154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6550"/>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223"/>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4347"/>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1956"/>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1466"/>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23703"/>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31763"/>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1102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8583"/>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14249"/>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32284"/>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28796"/>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57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1267"/>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4B85F0B"/>
    <w:rsid w:val="14CF3CA3"/>
    <w:rsid w:val="14E07FD6"/>
    <w:rsid w:val="15F97730"/>
    <w:rsid w:val="16C87783"/>
    <w:rsid w:val="17282A80"/>
    <w:rsid w:val="18B01A07"/>
    <w:rsid w:val="193C52A5"/>
    <w:rsid w:val="19433EF2"/>
    <w:rsid w:val="1A6F650A"/>
    <w:rsid w:val="1A9035BE"/>
    <w:rsid w:val="1AE01E07"/>
    <w:rsid w:val="1AE265A9"/>
    <w:rsid w:val="1B2578B9"/>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6FE3994"/>
    <w:rsid w:val="47A61159"/>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5F33F9A"/>
    <w:rsid w:val="5637067A"/>
    <w:rsid w:val="56B420FD"/>
    <w:rsid w:val="576B56C3"/>
    <w:rsid w:val="58A041F9"/>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0787A"/>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2022-12-02T22:48:04Z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