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3264"/>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_Toc23264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_Toc23264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_Toc21194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_Toc21194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_Toc17903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_Toc17903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_Toc8197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_Toc8197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_Toc27298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_Toc27298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_Toc26081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_Toc26081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_Toc29136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_Toc29136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_Toc26672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_Toc26672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_Toc15604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_Toc15604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_Toc17327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_Toc17327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_Toc23133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_Toc23133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_Toc10213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_Toc10213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_Toc5124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_Toc5124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_Toc30008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_Toc30008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_Toc13786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_Toc13786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_Toc2151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_Toc20435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_Toc20435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_Toc1798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_Toc1798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_Toc6392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_Toc6392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_Toc23732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_Toc1084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_Toc1084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_Toc22302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_Toc22302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_Toc23800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_Toc23800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_Toc32533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_Toc32533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_Toc12338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_Toc12338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_Toc12563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_Toc12563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_Toc11507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_Toc11507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_Toc31305 \h </w:instrText>
      </w:r>
      <w:r>
        <w:rPr>
          <w:b/>
          <w:bCs/>
        </w:rPr>
        <w:fldChar w:fldCharType="separate"/>
      </w:r>
      <w:r>
        <w:rPr>
          <w:b/>
          <w:bCs/>
        </w:rPr>
        <w:t>12</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1194"/>
      <w:r>
        <w:rPr>
          <w:rFonts w:hint="default"/>
          <w:color w:val="843C0B" w:themeColor="accent2" w:themeShade="80"/>
          <w:lang w:val="en-US"/>
        </w:rPr>
        <w:t>Youtube playlist</w:t>
      </w:r>
      <w:bookmarkEnd w:id="1"/>
      <w:bookmarkStart w:id="31" w:name="_GoBack"/>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790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8197"/>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27298"/>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26081"/>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29136"/>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26672"/>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15604"/>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17327"/>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23133"/>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10213"/>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5124"/>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30008"/>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13786"/>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151"/>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20435"/>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1798"/>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6392"/>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23732"/>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1084"/>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22302"/>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3800"/>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32533"/>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12338"/>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32564"/>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12563"/>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11507"/>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1305"/>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2576B27"/>
    <w:rsid w:val="230D6BF6"/>
    <w:rsid w:val="23F4241D"/>
    <w:rsid w:val="244C26BE"/>
    <w:rsid w:val="258C4EA7"/>
    <w:rsid w:val="26037A3A"/>
    <w:rsid w:val="263E73AF"/>
    <w:rsid w:val="26753BA5"/>
    <w:rsid w:val="26ED5475"/>
    <w:rsid w:val="26F526BC"/>
    <w:rsid w:val="26F72801"/>
    <w:rsid w:val="271D45A0"/>
    <w:rsid w:val="27B8502F"/>
    <w:rsid w:val="28752D9A"/>
    <w:rsid w:val="28C15D34"/>
    <w:rsid w:val="28CF6663"/>
    <w:rsid w:val="2B4A5077"/>
    <w:rsid w:val="2BA32D59"/>
    <w:rsid w:val="2C125253"/>
    <w:rsid w:val="2C2E6E9F"/>
    <w:rsid w:val="2C753B81"/>
    <w:rsid w:val="2C9B7DE8"/>
    <w:rsid w:val="2CD32E1E"/>
    <w:rsid w:val="2E5C3023"/>
    <w:rsid w:val="2ECD34A8"/>
    <w:rsid w:val="2F042F88"/>
    <w:rsid w:val="2F37233F"/>
    <w:rsid w:val="2F5E7EA4"/>
    <w:rsid w:val="2FB075F5"/>
    <w:rsid w:val="2FE428FC"/>
    <w:rsid w:val="2FF005B4"/>
    <w:rsid w:val="302C43A8"/>
    <w:rsid w:val="30617D87"/>
    <w:rsid w:val="306B04F2"/>
    <w:rsid w:val="30910EC7"/>
    <w:rsid w:val="30E62134"/>
    <w:rsid w:val="311346E6"/>
    <w:rsid w:val="31511475"/>
    <w:rsid w:val="31820C7D"/>
    <w:rsid w:val="3235180A"/>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C544301"/>
    <w:rsid w:val="5C566D9D"/>
    <w:rsid w:val="5C610AF2"/>
    <w:rsid w:val="5C956AB0"/>
    <w:rsid w:val="5CD2390C"/>
    <w:rsid w:val="5D380855"/>
    <w:rsid w:val="5D441CC8"/>
    <w:rsid w:val="5D816BE9"/>
    <w:rsid w:val="5DE14C1D"/>
    <w:rsid w:val="5DF0518C"/>
    <w:rsid w:val="5E642A3F"/>
    <w:rsid w:val="5F5909B4"/>
    <w:rsid w:val="6092683A"/>
    <w:rsid w:val="614E11BB"/>
    <w:rsid w:val="61590862"/>
    <w:rsid w:val="615A56C9"/>
    <w:rsid w:val="61A62640"/>
    <w:rsid w:val="62835766"/>
    <w:rsid w:val="628A5D2A"/>
    <w:rsid w:val="633C73B4"/>
    <w:rsid w:val="637E016A"/>
    <w:rsid w:val="6503531C"/>
    <w:rsid w:val="6602145E"/>
    <w:rsid w:val="665F0C48"/>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1041A23"/>
    <w:rsid w:val="71055D3D"/>
    <w:rsid w:val="71A41967"/>
    <w:rsid w:val="7253532F"/>
    <w:rsid w:val="72C05340"/>
    <w:rsid w:val="72E41BFB"/>
    <w:rsid w:val="72E64B68"/>
    <w:rsid w:val="739C2F1A"/>
    <w:rsid w:val="73D73A40"/>
    <w:rsid w:val="740F4839"/>
    <w:rsid w:val="744256EC"/>
    <w:rsid w:val="74836C60"/>
    <w:rsid w:val="758855B8"/>
    <w:rsid w:val="75AC74E0"/>
    <w:rsid w:val="7668565E"/>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2022-12-11T00:44:31Z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