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60"/>
        <w:jc w:val="start"/>
        <w:rPr/>
      </w:pPr>
      <w:r>
        <w:rPr/>
        <w:t>DOCX Renderer Gap Checklist</w:t>
      </w:r>
    </w:p>
    <w:p>
      <w:pPr>
        <w:pStyle w:val="BodyTextmeta"/>
        <w:bidi w:val="0"/>
        <w:jc w:val="start"/>
        <w:rPr/>
      </w:pPr>
      <w:r>
        <w:rPr/>
        <w:t>Generated for Routa office-wasm DOCX preview comparison. Date: 2026-05-05. Reference sample: Microsoft Word rendering of the CAG Schedule 8 DOCX.</w:t>
      </w:r>
    </w:p>
    <w:p>
      <w:pPr>
        <w:pStyle w:val="BodyTextnote"/>
        <w:bidi w:val="0"/>
        <w:jc w:val="start"/>
        <w:rPr/>
      </w:pPr>
      <w:r>
        <w:rPr>
          <w:b/>
        </w:rPr>
        <w:t>How to use:</w:t>
      </w:r>
      <w:r>
        <w:rPr/>
        <w:t xml:space="preserve"> open this DOCX in Microsoft Word and in the Routa debug page. Compare the checklist first, then use the scenario pages as small visual smoke cases for page breaks, TOC-like leaders, footer text, heading rules, tables, bullets, and full-width imagery.</w:t>
      </w:r>
    </w:p>
    <w:p>
      <w:pPr>
        <w:pStyle w:val="Heading2"/>
        <w:bidi w:val="0"/>
        <w:jc w:val="start"/>
        <w:rPr/>
      </w:pPr>
      <w:r>
        <w:rPr/>
        <w:t>Current Status</w:t>
      </w:r>
    </w:p>
    <w:p>
      <w:pPr>
        <w:pStyle w:val="Heading3"/>
        <w:bidi w:val="0"/>
        <w:jc w:val="start"/>
        <w:rPr/>
      </w:pPr>
      <w:r>
        <w:rPr/>
        <w:t>Decoded protocol - stable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Walnut-readable real-world DOCX JSON parity is green.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Routa also handles several local files that Walnut rejects.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Next action: add protocol fixtures only when a new corpus sample exposes concrete drift. </w:t>
      </w:r>
    </w:p>
    <w:p>
      <w:pPr>
        <w:pStyle w:val="Heading3"/>
        <w:bidi w:val="0"/>
        <w:jc w:val="start"/>
        <w:rPr/>
      </w:pPr>
      <w:r>
        <w:rPr/>
        <w:t>CAG reference layout - close, not pixel-perfect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Covered: cover/full-width images, TOC entries, footer PAGE text, paragraph-mark color bug, and final contact page overlays.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Remaining: late-page pagination is estimation-based; exact Word line/page layout is still not guaranteed. </w:t>
      </w:r>
    </w:p>
    <w:p>
      <w:pPr>
        <w:pStyle w:val="Heading3"/>
        <w:bidi w:val="0"/>
        <w:jc w:val="start"/>
        <w:rPr/>
      </w:pPr>
      <w:r>
        <w:rPr/>
        <w:t>Renderer tests - broad unit coverage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Covered: section setup, headers/footers, columns, bullets/numbering, tables, image bboxes, chart references, and review markers.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Remaining: focused e2e visual fixtures for page-flow and floating-object cases. </w:t>
      </w:r>
    </w:p>
    <w:p>
      <w:pPr>
        <w:pStyle w:val="Heading2"/>
        <w:bidi w:val="0"/>
        <w:jc w:val="start"/>
        <w:rPr/>
      </w:pPr>
      <w:r>
        <w:rPr/>
        <w:t>Prioritized Improvement Backlog</w:t>
      </w:r>
    </w:p>
    <w:p>
      <w:pPr>
        <w:pStyle w:val="Heading3"/>
        <w:bidi w:val="0"/>
        <w:jc w:val="start"/>
        <w:rPr/>
      </w:pPr>
      <w:r>
        <w:rPr/>
        <w:t>P0 - Word-like pagination estimator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Why: most visible CAG drift comes from line height, paragraph spacing, heading rules, and orphan/widow behavior.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Fixture: repeated Heading2 rules, short orphan paragraph, footer PAGE field.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Implementation: keep heuristics bounded and fixture-backed; avoid document-specific hacks. </w:t>
      </w:r>
    </w:p>
    <w:p>
      <w:pPr>
        <w:pStyle w:val="Heading3"/>
        <w:bidi w:val="0"/>
        <w:jc w:val="start"/>
        <w:rPr/>
      </w:pPr>
      <w:r>
        <w:rPr/>
        <w:t>P0 - Floating object flow model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Why: Word positions shapes/images with wrap, behind-doc, overlap, z-order, and distance-from-text rules.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Fixture: inline, square wrap, top-bottom wrap, behind text, and full-width page anchor.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Implementation: separate protocol extraction from visual flow decisions. </w:t>
      </w:r>
    </w:p>
    <w:p>
      <w:pPr>
        <w:pStyle w:val="Heading3"/>
        <w:bidi w:val="0"/>
        <w:jc w:val="start"/>
        <w:rPr/>
      </w:pPr>
      <w:r>
        <w:rPr/>
        <w:t>P1 - Table style visual inheritance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Why: conditional table regions can change visible borders, fills, and merged-cell behavior.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Fixture: first row, banded rows, merged cells, direct shading, and empty borders. </w:t>
      </w:r>
    </w:p>
    <w:p>
      <w:pPr>
        <w:pStyle w:val="Heading3"/>
        <w:bidi w:val="0"/>
        <w:jc w:val="start"/>
        <w:rPr/>
      </w:pPr>
      <w:r>
        <w:rPr/>
        <w:t>P1 - Chart fidelity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Why: basic cached chart data renders, but Word-specific axes, legends, titles, and plot styling are shallow.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Fixture: multi-series chart with legend, title, secondary axis, and data labels. </w:t>
      </w:r>
    </w:p>
    <w:p>
      <w:pPr>
        <w:pStyle w:val="Heading3"/>
        <w:bidi w:val="0"/>
        <w:jc w:val="start"/>
        <w:rPr/>
      </w:pPr>
      <w:r>
        <w:rPr/>
        <w:t>P1 - Header/footer variants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Why: first-page, odd/even, inherited section footer, and overlay-hidden footer cases are easy to regress.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Fixture: three-section DOCX with different first-page footer and inherited PAGE field. </w:t>
      </w:r>
    </w:p>
    <w:p>
      <w:pPr>
        <w:pStyle w:val="BodyTextfooter-note"/>
        <w:bidi w:val="0"/>
        <w:jc w:val="end"/>
        <w:rPr/>
      </w:pPr>
      <w:r>
        <w:rPr/>
        <w:t>Routa DOCX renderer gap checklist | page 1</w:t>
      </w:r>
    </w:p>
    <w:p>
      <w:pPr>
        <w:pStyle w:val="Heading1"/>
        <w:bidi w:val="0"/>
        <w:ind w:hanging="0" w:start="0" w:end="0"/>
        <w:jc w:val="start"/>
        <w:rPr/>
      </w:pPr>
      <w:r>
        <w:rPr/>
        <w:t>Scenario Pages</w:t>
      </w:r>
    </w:p>
    <w:p>
      <w:pPr>
        <w:pStyle w:val="BodyTextmeta"/>
        <w:bidi w:val="0"/>
        <w:jc w:val="start"/>
        <w:rPr/>
      </w:pPr>
      <w:r>
        <w:rPr/>
        <w:t>These pages are intentionally small and synthetic. They are fast visual smoke inputs, not a replacement for the CAG reference document.</w:t>
      </w:r>
    </w:p>
    <w:p>
      <w:pPr>
        <w:pStyle w:val="Heading2"/>
        <w:bidi w:val="0"/>
        <w:jc w:val="start"/>
        <w:rPr/>
      </w:pPr>
      <w:r>
        <w:rPr/>
        <w:t>Scenario A - TOC-like Leaders</w:t>
      </w:r>
    </w:p>
    <w:p>
      <w:pPr>
        <w:pStyle w:val="BodyText"/>
        <w:bidi w:val="0"/>
        <w:jc w:val="start"/>
        <w:rPr/>
      </w:pPr>
      <w:r>
        <w:rPr/>
        <w:t>The following lines should resemble Word TOC entries: left title, dotted leader, right page number.</w:t>
      </w:r>
    </w:p>
    <w:p>
      <w:pPr>
        <w:pStyle w:val="BodyTexttoc"/>
        <w:bidi w:val="0"/>
        <w:jc w:val="start"/>
        <w:rPr/>
      </w:pPr>
      <w:r>
        <w:rPr/>
        <w:t>Thoughtworks approach to operations and maintenance ........................ 3</w:t>
      </w:r>
    </w:p>
    <w:p>
      <w:pPr>
        <w:pStyle w:val="BodyTexttoc"/>
        <w:bidi w:val="0"/>
        <w:jc w:val="start"/>
        <w:rPr/>
      </w:pPr>
      <w:r>
        <w:rPr/>
        <w:t>Service configuration ................................................... 16</w:t>
      </w:r>
    </w:p>
    <w:p>
      <w:pPr>
        <w:pStyle w:val="BodyTexttoc"/>
        <w:bidi w:val="0"/>
        <w:jc w:val="start"/>
        <w:rPr/>
      </w:pPr>
      <w:r>
        <w:rPr/>
        <w:t>Obsolescence management ................................................ 39</w:t>
      </w:r>
    </w:p>
    <w:p>
      <w:pPr>
        <w:pStyle w:val="Heading2"/>
        <w:bidi w:val="0"/>
        <w:jc w:val="start"/>
        <w:rPr/>
      </w:pPr>
      <w:r>
        <w:rPr/>
        <w:t>Scenario B - Heading Rules and Bullets</w:t>
      </w:r>
    </w:p>
    <w:p>
      <w:pPr>
        <w:pStyle w:val="BodyText"/>
        <w:bidi w:val="0"/>
        <w:jc w:val="start"/>
        <w:rPr/>
      </w:pPr>
      <w:r>
        <w:rPr/>
        <w:t>Heading2-like rules should not collapse into surrounding paragraphs. Bullets should stay indented and evenly spaced.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Review and validate the service performance.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Review service against current and future technology strategy.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Identify service decommissioning requirements. </w:t>
      </w:r>
    </w:p>
    <w:p>
      <w:pPr>
        <w:pStyle w:val="Heading2"/>
        <w:bidi w:val="0"/>
        <w:jc w:val="start"/>
        <w:rPr/>
      </w:pPr>
      <w:r>
        <w:rPr/>
        <w:t>Scenario C - Compact Table</w:t>
      </w:r>
    </w:p>
    <w:tbl>
      <w:tblPr>
        <w:tblW w:w="81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51"/>
        <w:gridCol w:w="1086"/>
        <w:gridCol w:w="5618"/>
      </w:tblGrid>
      <w:tr>
        <w:trPr/>
        <w:tc>
          <w:tcPr>
            <w:tcW w:w="1451" w:type="dxa"/>
            <w:tcBorders/>
            <w:vAlign w:val="center"/>
          </w:tcPr>
          <w:p>
            <w:pPr>
              <w:pStyle w:val="TableHeading"/>
              <w:bidi w:val="0"/>
              <w:spacing w:before="0" w:after="120"/>
              <w:ind w:hanging="0" w:start="0" w:end="0"/>
              <w:rPr/>
            </w:pPr>
            <w:r>
              <w:rPr/>
              <w:t>Section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TableHeading"/>
              <w:suppressLineNumbers/>
              <w:shd w:fill="F1F5F9" w:val="clear"/>
              <w:bidi w:val="0"/>
              <w:spacing w:before="0" w:after="120"/>
              <w:jc w:val="center"/>
              <w:rPr/>
            </w:pPr>
            <w:r>
              <w:rPr/>
              <w:t>Expected</w:t>
            </w:r>
          </w:p>
        </w:tc>
        <w:tc>
          <w:tcPr>
            <w:tcW w:w="5618" w:type="dxa"/>
            <w:tcBorders/>
            <w:vAlign w:val="center"/>
          </w:tcPr>
          <w:p>
            <w:pPr>
              <w:pStyle w:val="TableHeading"/>
              <w:suppressLineNumbers/>
              <w:shd w:fill="F1F5F9" w:val="clear"/>
              <w:bidi w:val="0"/>
              <w:spacing w:before="0" w:after="120"/>
              <w:jc w:val="center"/>
              <w:rPr/>
            </w:pPr>
            <w:r>
              <w:rPr/>
              <w:t>Visual assertion</w:t>
            </w:r>
          </w:p>
        </w:tc>
      </w:tr>
      <w:tr>
        <w:trPr/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/>
              <w:t>Obsolescence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/>
              <w:t>Page 39</w:t>
            </w:r>
          </w:p>
        </w:tc>
        <w:tc>
          <w:tcPr>
            <w:tcW w:w="561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/>
              <w:t>Text remains dark, not paragraph-mark red.</w:t>
            </w:r>
          </w:p>
        </w:tc>
      </w:tr>
      <w:tr>
        <w:trPr/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/>
              <w:t>Licence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/>
              <w:t>Next page</w:t>
            </w:r>
          </w:p>
        </w:tc>
        <w:tc>
          <w:tcPr>
            <w:tcW w:w="561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/>
              <w:t>Footer remains visible after section flow.</w:t>
            </w:r>
          </w:p>
        </w:tc>
      </w:tr>
      <w:tr>
        <w:trPr/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/>
              <w:t>Contact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/>
              <w:t>Final page</w:t>
            </w:r>
          </w:p>
        </w:tc>
        <w:tc>
          <w:tcPr>
            <w:tcW w:w="561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/>
              <w:t>Contact block and full-width bottom image share one page.</w:t>
            </w:r>
          </w:p>
        </w:tc>
      </w:tr>
    </w:tbl>
    <w:p>
      <w:pPr>
        <w:pStyle w:val="BodyTextfooter-note"/>
        <w:bidi w:val="0"/>
        <w:jc w:val="end"/>
        <w:rPr/>
      </w:pPr>
      <w:r>
        <w:rPr/>
        <w:t>Routa DOCX renderer gap checklist | page 2</w:t>
      </w:r>
    </w:p>
    <w:p>
      <w:pPr>
        <w:pStyle w:val="Heading1"/>
        <w:bidi w:val="0"/>
        <w:ind w:hanging="0" w:start="0" w:end="0"/>
        <w:jc w:val="start"/>
        <w:rPr/>
      </w:pPr>
      <w:r>
        <w:rPr/>
        <w:t>Scenario D - Full-width Image Composition</w:t>
      </w:r>
    </w:p>
    <w:p>
      <w:pPr>
        <w:pStyle w:val="BodyText"/>
        <w:bidi w:val="0"/>
        <w:jc w:val="start"/>
        <w:rPr/>
      </w:pPr>
      <w:r>
        <w:rPr/>
        <w:t>This synthetic graphic approximates the CAG cover/final full-width airport image. It should span the content width cleanly and not introduce unexpected side margins.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8572500" cy="3429000"/>
            <wp:effectExtent l="0" t="0" r="0" b="0"/>
            <wp:docPr id="1" name="Image1" title="Synthetic airport image for DOCX renderer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Synthetic airport image for DOCX renderer comparison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Scenario E - Orphan Paragraph</w:t>
      </w:r>
    </w:p>
    <w:p>
      <w:pPr>
        <w:pStyle w:val="BodyText"/>
        <w:bidi w:val="0"/>
        <w:jc w:val="start"/>
        <w:rPr/>
      </w:pPr>
      <w:r>
        <w:rPr/>
        <w:t>A short trailing paragraph should not become a blank-looking standalone page when there is enough practical room to keep it with the previous section flow.</w:t>
      </w:r>
    </w:p>
    <w:p>
      <w:pPr>
        <w:pStyle w:val="BodyText"/>
        <w:bidi w:val="0"/>
        <w:jc w:val="start"/>
        <w:rPr/>
      </w:pPr>
      <w:r>
        <w:rPr/>
        <w:t>Short trailing body paragraph for orphan-page checks.</w:t>
      </w:r>
    </w:p>
    <w:p>
      <w:pPr>
        <w:pStyle w:val="BodyTextfooter-note"/>
        <w:bidi w:val="0"/>
        <w:spacing w:before="400" w:after="120"/>
        <w:jc w:val="end"/>
        <w:rPr/>
      </w:pPr>
      <w:r>
        <w:rPr/>
        <w:t>Routa DOCX renderer gap checklist | page 3</w:t>
      </w:r>
    </w:p>
    <w:sectPr>
      <w:type w:val="nextPage"/>
      <w:pgSz w:w="11906" w:h="16838"/>
      <w:pgMar w:left="1224" w:right="1224" w:gutter="0" w:header="0" w:top="1080" w:footer="0" w:bottom="108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Helvetica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doNotExpandShiftReturn/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07"/>
    </w:pPr>
    <w:rPr>
      <w:rFonts w:ascii="Arial;Helvetica;sans-serif" w:hAnsi="Arial;Helvetica;sans-serif" w:eastAsia="Arial;Helvetica;sans-serif" w:cs="Arial;Helvetica;sans-serif"/>
      <w:color w:val="111827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60"/>
    </w:pPr>
    <w:rPr>
      <w:b/>
      <w:bCs/>
      <w:color w:val="0F172A"/>
      <w:sz w:val="48"/>
      <w:szCs w:val="48"/>
    </w:rPr>
  </w:style>
  <w:style w:type="paragraph" w:styleId="Heading2">
    <w:name w:val="heading 2"/>
    <w:basedOn w:val="Heading"/>
    <w:next w:val="BodyText"/>
    <w:qFormat/>
    <w:pPr>
      <w:pBdr>
        <w:top w:val="single" w:sz="8" w:space="4" w:color="3C9FAA"/>
        <w:bottom w:val="single" w:sz="8" w:space="4" w:color="3C9FAA"/>
      </w:pBdr>
      <w:spacing w:before="320" w:after="160"/>
      <w:ind w:start="320" w:end="320"/>
      <w:outlineLvl w:val="1"/>
    </w:pPr>
    <w:rPr>
      <w:rFonts w:ascii="Liberation Serif" w:hAnsi="Liberation Serif" w:eastAsia="Songti SC" w:cs="Arial Unicode MS"/>
      <w:b/>
      <w:bCs/>
      <w:color w:val="0F172A"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00" w:after="80"/>
      <w:ind w:start="200" w:end="200"/>
      <w:outlineLvl w:val="2"/>
    </w:pPr>
    <w:rPr>
      <w:rFonts w:ascii="Liberation Serif" w:hAnsi="Liberation Serif" w:eastAsia="Songti SC" w:cs="Arial Unicode MS"/>
      <w:b/>
      <w:bCs/>
      <w:color w:val="0F172A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meta">
    <w:name w:val="Body Text.meta"/>
    <w:basedOn w:val="BodyText"/>
    <w:qFormat/>
    <w:pPr/>
    <w:rPr>
      <w:color w:val="64748B"/>
      <w:sz w:val="19"/>
      <w:szCs w:val="19"/>
    </w:rPr>
  </w:style>
  <w:style w:type="paragraph" w:styleId="BodyTextnote">
    <w:name w:val="Body Text.note"/>
    <w:basedOn w:val="BodyText"/>
    <w:qFormat/>
    <w:pPr>
      <w:pBdr>
        <w:left w:val="single" w:sz="24" w:space="9" w:color="3C9FAA"/>
      </w:pBdr>
      <w:shd w:fill="EEF9FB" w:val="clear"/>
      <w:spacing w:before="200" w:after="240"/>
      <w:ind w:start="200" w:end="200"/>
    </w:pPr>
    <w:rPr/>
  </w:style>
  <w:style w:type="paragraph" w:styleId="BodyTextfooter-note">
    <w:name w:val="Body Text.footer-note"/>
    <w:basedOn w:val="BodyText"/>
    <w:qFormat/>
    <w:pPr>
      <w:pBdr>
        <w:top w:val="single" w:sz="2" w:space="5" w:color="E2E8F0"/>
      </w:pBdr>
      <w:spacing w:before="400" w:after="120"/>
      <w:jc w:val="end"/>
    </w:pPr>
    <w:rPr>
      <w:color w:val="94A3B8"/>
      <w:sz w:val="16"/>
      <w:szCs w:val="16"/>
    </w:rPr>
  </w:style>
  <w:style w:type="paragraph" w:styleId="BodyTexttoc">
    <w:name w:val="Body Text.toc"/>
    <w:basedOn w:val="BodyText"/>
    <w:qFormat/>
    <w:pPr/>
    <w:rPr>
      <w:rFonts w:ascii="Arial;Helvetica;sans-serif" w:hAnsi="Arial;Helvetica;sans-serif" w:eastAsia="Arial;Helvetica;sans-serif" w:cs="Arial;Helvetica;sans-serif"/>
    </w:rPr>
  </w:style>
  <w:style w:type="paragraph" w:styleId="TableHeading">
    <w:name w:val="Table Heading"/>
    <w:basedOn w:val="TableContents"/>
    <w:qFormat/>
    <w:pPr>
      <w:suppressLineNumbers/>
      <w:shd w:fill="F1F5F9" w:val="clear"/>
      <w:jc w:val="center"/>
    </w:pPr>
    <w:rPr>
      <w:b/>
      <w:bCs/>
      <w:color w:val="0F172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ocx_gap_airport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DOCX Renderer Gap Checklist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