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Leistungsverzeichnis</w:t>
      </w:r>
    </w:p>
    <w:p>
      <w:pPr>
        <w:spacing w:after="40"/>
      </w:pPr>
      <w:r>
        <w:rPr>
          <w:b/>
          <w:bCs/>
          <w:sz w:val="26"/>
          <w:szCs w:val="26"/>
        </w:rPr>
        <w:t xml:space="preserve">Website-Relaunch KOMPASS Thüringen (WordPress → TYPO3)</w:t>
      </w:r>
    </w:p>
    <w:p>
      <w:pPr>
        <w:spacing w:after="40"/>
      </w:pPr>
      <w:r>
        <w:rPr>
          <w:sz w:val="21"/>
          <w:szCs w:val="21"/>
        </w:rPr>
        <w:t xml:space="preserve">Dominic Otto: dominic.otto@projektstadt.de</w:t>
      </w:r>
    </w:p>
    <w:p>
      <w:pPr>
        <w:spacing w:after="280"/>
      </w:pPr>
      <w:r>
        <w:rPr>
          <w:i/>
          <w:iCs/>
          <w:sz w:val="21"/>
          <w:szCs w:val="21"/>
        </w:rPr>
        <w:t xml:space="preserve">Stand: 22. September 2026</w:t>
      </w:r>
    </w:p>
    <w:p>
      <w:pPr>
        <w:pStyle w:val="Heading1"/>
        <w:spacing w:after="160" w:before="320"/>
      </w:pPr>
      <w:r>
        <w:rPr>
          <w:b/>
          <w:bCs/>
          <w:color w:val="18181B"/>
          <w:sz w:val="27"/>
          <w:szCs w:val="27"/>
        </w:rPr>
        <w:t xml:space="preserve">1. Projektüberblick</w:t>
      </w:r>
    </w:p>
    <w:p>
      <w:pPr>
        <w:pStyle w:val="ListParagraph"/>
        <w:numPr>
          <w:ilvl w:val="0"/>
          <w:numId w:val="2"/>
        </w:numPr>
        <w:spacing w:after="80"/>
      </w:pPr>
      <w:r>
        <w:rPr>
          <w:sz w:val="21"/>
          <w:szCs w:val="21"/>
        </w:rPr>
        <w:t xml:space="preserve">KOMPASS Thüringen ist eine bestehende Webplattform, die abgeschlossene Beispielprojekte zur Beseitigung gewerblichen Leerstands in Thüringer Innenstädten dokumentiert und als Inspirationsquelle für neue Städtebauprojekte dient.</w:t>
      </w:r>
    </w:p>
    <w:p>
      <w:pPr>
        <w:pStyle w:val="ListParagraph"/>
        <w:numPr>
          <w:ilvl w:val="0"/>
          <w:numId w:val="2"/>
        </w:numPr>
        <w:spacing w:after="80"/>
      </w:pPr>
      <w:r>
        <w:rPr>
          <w:sz w:val="21"/>
          <w:szCs w:val="21"/>
        </w:rPr>
        <w:t xml:space="preserve">Zielgruppen: Kommunen &amp; Stadtplanungsämter, breite Öffentlichkeit &amp; Bürger:innen, Investoren &amp; Projektentwickler – Inhalte und Sprache müssen für alle drei Gruppen funktionieren.</w:t>
      </w:r>
    </w:p>
    <w:p>
      <w:pPr>
        <w:pStyle w:val="ListParagraph"/>
        <w:numPr>
          <w:ilvl w:val="0"/>
          <w:numId w:val="2"/>
        </w:numPr>
        <w:spacing w:after="80"/>
      </w:pPr>
      <w:r>
        <w:rPr>
          <w:sz w:val="21"/>
          <w:szCs w:val="21"/>
        </w:rPr>
        <w:t xml:space="preserve">Die Seite ist ein Projekt im Rahmen des Thüringer Aktionsbündnisses „Innenstädte mit Zukunft“ (AG Leerstandsbewältigung, organisiert durch die LEG Thüringen).</w:t>
      </w:r>
    </w:p>
    <w:p>
      <w:pPr>
        <w:pStyle w:val="ListParagraph"/>
        <w:numPr>
          <w:ilvl w:val="0"/>
          <w:numId w:val="2"/>
        </w:numPr>
        <w:spacing w:after="80"/>
      </w:pPr>
      <w:r>
        <w:rPr>
          <w:sz w:val="21"/>
          <w:szCs w:val="21"/>
        </w:rPr>
        <w:t xml:space="preserve">Anlass des Projekts: Wechsel des CMS von WordPress zu TYPO3, verbunden mit einer designtechnischen Aufwertung der Seite und erweiterten Darstellungsmöglichkeiten (u. a. Kartenansicht, Filterung, Barrierefreiheit).</w:t>
      </w:r>
    </w:p>
    <w:p>
      <w:pPr>
        <w:pStyle w:val="ListParagraph"/>
        <w:numPr>
          <w:ilvl w:val="0"/>
          <w:numId w:val="2"/>
        </w:numPr>
        <w:spacing w:after="80"/>
      </w:pPr>
      <w:r>
        <w:rPr>
          <w:sz w:val="21"/>
          <w:szCs w:val="21"/>
        </w:rPr>
        <w:t xml:space="preserve">Bestehende Inhalte (aktuell rd. 8 dokumentierte Projekte, Leitfäden, redaktionelle Texte) sind aus WordPress zu übernehmen und in die neue Seitenstruktur zu überführen.</w:t>
      </w:r>
    </w:p>
    <w:p>
      <w:pPr>
        <w:pStyle w:val="ListParagraph"/>
        <w:numPr>
          <w:ilvl w:val="0"/>
          <w:numId w:val="2"/>
        </w:numPr>
        <w:spacing w:after="80"/>
      </w:pPr>
      <w:r>
        <w:rPr>
          <w:sz w:val="21"/>
          <w:szCs w:val="21"/>
        </w:rPr>
        <w:t xml:space="preserve">Grundlage dieses Leistungsverzeichnisses sind die im Rahmen der Konzeption erarbeiteten Wireframes zu allen sieben Kernseiten (siehe Abschnitt 3).</w:t>
      </w:r>
    </w:p>
    <w:p>
      <w:pPr>
        <w:pStyle w:val="Heading1"/>
        <w:spacing w:after="160" w:before="320"/>
      </w:pPr>
      <w:r>
        <w:rPr>
          <w:b/>
          <w:bCs/>
          <w:color w:val="18181B"/>
          <w:sz w:val="27"/>
          <w:szCs w:val="27"/>
        </w:rPr>
        <w:t xml:space="preserve">2. Technische Rahmenbedingungen</w:t>
      </w:r>
    </w:p>
    <w:p>
      <w:pPr>
        <w:pStyle w:val="ListParagraph"/>
        <w:numPr>
          <w:ilvl w:val="0"/>
          <w:numId w:val="2"/>
        </w:numPr>
        <w:spacing w:after="80"/>
      </w:pPr>
      <w:r>
        <w:rPr>
          <w:sz w:val="21"/>
          <w:szCs w:val="21"/>
        </w:rPr>
        <w:t xml:space="preserve">Ziel-CMS: TYPO3 (Ablösung des bisherigen WordPress-Systems, Version 6.9.1 mit Divi Child Theme).</w:t>
      </w:r>
    </w:p>
    <w:p>
      <w:pPr>
        <w:pStyle w:val="ListParagraph"/>
        <w:numPr>
          <w:ilvl w:val="0"/>
          <w:numId w:val="2"/>
        </w:numPr>
        <w:spacing w:after="80"/>
      </w:pPr>
      <w:r>
        <w:rPr>
          <w:sz w:val="21"/>
          <w:szCs w:val="21"/>
        </w:rPr>
        <w:t xml:space="preserve">Migration der bestehenden Inhalte (Projekte, Leitfäden, redaktionelle Seiten) aus WordPress nach TYPO3.</w:t>
      </w:r>
    </w:p>
    <w:p>
      <w:pPr>
        <w:pStyle w:val="ListParagraph"/>
        <w:numPr>
          <w:ilvl w:val="0"/>
          <w:numId w:val="2"/>
        </w:numPr>
        <w:spacing w:after="80"/>
      </w:pPr>
      <w:r>
        <w:rPr>
          <w:sz w:val="21"/>
          <w:szCs w:val="21"/>
        </w:rPr>
        <w:t xml:space="preserve">Redaktionelle Pflegbarkeit ohne Entwicklerbeteiligung: Redakteur:innen benötigen vollen Zugriff auf Projekte, Leitfäden und News-Teaser, ohne auf Admin-/Entwicklerrechte angewiesen zu sein.</w:t>
      </w:r>
    </w:p>
    <w:p>
      <w:pPr>
        <w:pStyle w:val="ListParagraph"/>
        <w:numPr>
          <w:ilvl w:val="0"/>
          <w:numId w:val="2"/>
        </w:numPr>
        <w:spacing w:after="80"/>
      </w:pPr>
      <w:r>
        <w:rPr>
          <w:sz w:val="21"/>
          <w:szCs w:val="21"/>
        </w:rPr>
        <w:t xml:space="preserve">Kartenintegration: OpenStreetMap (kein Google Maps).</w:t>
      </w:r>
    </w:p>
    <w:p>
      <w:pPr>
        <w:pStyle w:val="ListParagraph"/>
        <w:numPr>
          <w:ilvl w:val="0"/>
          <w:numId w:val="2"/>
        </w:numPr>
        <w:spacing w:after="80"/>
      </w:pPr>
      <w:r>
        <w:rPr>
          <w:sz w:val="21"/>
          <w:szCs w:val="21"/>
        </w:rPr>
        <w:t xml:space="preserve">Responsive Darstellung für Desktop- und Mobilgeräte.</w:t>
      </w:r>
    </w:p>
    <w:p>
      <w:pPr>
        <w:pStyle w:val="ListParagraph"/>
        <w:numPr>
          <w:ilvl w:val="0"/>
          <w:numId w:val="2"/>
        </w:numPr>
        <w:spacing w:after="80"/>
      </w:pPr>
      <w:r>
        <w:rPr>
          <w:sz w:val="21"/>
          <w:szCs w:val="21"/>
        </w:rPr>
        <w:t xml:space="preserve">Umsetzung nach WCAG-Standards (Barrierefreiheit), einschließlich einer weiterhin gepflegten Barrierefreiheitserklärung.</w:t>
      </w:r>
    </w:p>
    <w:p>
      <w:pPr>
        <w:pStyle w:val="ListParagraph"/>
        <w:numPr>
          <w:ilvl w:val="0"/>
          <w:numId w:val="2"/>
        </w:numPr>
        <w:spacing w:after="80"/>
      </w:pPr>
      <w:r>
        <w:rPr>
          <w:sz w:val="21"/>
          <w:szCs w:val="21"/>
        </w:rPr>
        <w:t xml:space="preserve">Datenmodell für Projekte muss die erweiterten/ revidierten Felder aus dem überarbeiteten Erfassungsformular abbilden (siehe Abschnitt 3.7), inkl. Mehrfachauswahlfeldern und der Ampel-Bewertung für den personellen Aufwand.</w:t>
      </w:r>
    </w:p>
    <w:p>
      <w:pPr>
        <w:pStyle w:val="Heading1"/>
        <w:spacing w:after="160" w:before="320"/>
      </w:pPr>
      <w:r>
        <w:rPr>
          <w:b/>
          <w:bCs/>
          <w:color w:val="18181B"/>
          <w:sz w:val="27"/>
          <w:szCs w:val="27"/>
        </w:rPr>
        <w:t xml:space="preserve">3. Seitenstruktur und Funktionsumfang</w:t>
      </w:r>
    </w:p>
    <w:p>
      <w:pPr>
        <w:pStyle w:val="Heading2"/>
        <w:spacing w:after="120" w:before="240"/>
      </w:pPr>
      <w:r>
        <w:rPr>
          <w:b/>
          <w:bCs/>
          <w:color w:val="18181B"/>
          <w:sz w:val="24"/>
          <w:szCs w:val="24"/>
        </w:rPr>
        <w:t xml:space="preserve">3.1 Startseite</w:t>
      </w:r>
    </w:p>
    <w:p>
      <w:pPr>
        <w:pStyle w:val="ListParagraph"/>
        <w:numPr>
          <w:ilvl w:val="0"/>
          <w:numId w:val="2"/>
        </w:numPr>
        <w:spacing w:after="80"/>
      </w:pPr>
      <w:r>
        <w:rPr>
          <w:sz w:val="21"/>
          <w:szCs w:val="21"/>
        </w:rPr>
        <w:t xml:space="preserve">Kopfzeile mit Hauptnavigation (Startseite, Idee, Leitfäden, Projektpool, Kontakt).</w:t>
      </w:r>
    </w:p>
    <w:p>
      <w:pPr>
        <w:pStyle w:val="ListParagraph"/>
        <w:numPr>
          <w:ilvl w:val="0"/>
          <w:numId w:val="2"/>
        </w:numPr>
        <w:spacing w:after="80"/>
      </w:pPr>
      <w:r>
        <w:rPr>
          <w:sz w:val="21"/>
          <w:szCs w:val="21"/>
        </w:rPr>
        <w:t xml:space="preserve">Persistenter Header-Button „Projekt einreichen“, seitenübergreifend sichtbar.</w:t>
      </w:r>
    </w:p>
    <w:p>
      <w:pPr>
        <w:pStyle w:val="ListParagraph"/>
        <w:numPr>
          <w:ilvl w:val="0"/>
          <w:numId w:val="2"/>
        </w:numPr>
        <w:spacing w:after="80"/>
      </w:pPr>
      <w:r>
        <w:rPr>
          <w:sz w:val="21"/>
          <w:szCs w:val="21"/>
        </w:rPr>
        <w:t xml:space="preserve">Hero-Bereich mit Bild-/Video-Hintergrund, Headline, Subline, primärem Call-to-Action („Projektpool entdecken“) und sekundärem Link („Idee &amp; Hintergrund“).</w:t>
      </w:r>
    </w:p>
    <w:p>
      <w:pPr>
        <w:pStyle w:val="ListParagraph"/>
        <w:numPr>
          <w:ilvl w:val="0"/>
          <w:numId w:val="2"/>
        </w:numPr>
        <w:spacing w:after="80"/>
      </w:pPr>
      <w:r>
        <w:rPr>
          <w:sz w:val="21"/>
          <w:szCs w:val="21"/>
        </w:rPr>
        <w:t xml:space="preserve">Direktsuche im Hero-Bereich (Freitextsuche nach Projekt, Ort oder Stichwort), verlinkt in den Projektpool.</w:t>
      </w:r>
    </w:p>
    <w:p>
      <w:pPr>
        <w:pStyle w:val="ListParagraph"/>
        <w:numPr>
          <w:ilvl w:val="0"/>
          <w:numId w:val="2"/>
        </w:numPr>
        <w:spacing w:after="80"/>
      </w:pPr>
      <w:r>
        <w:rPr>
          <w:sz w:val="21"/>
          <w:szCs w:val="21"/>
        </w:rPr>
        <w:t xml:space="preserve">News-Teaser-Banner im Hero-Bereich (aktuelle Meldung inkl. Verlinkung).</w:t>
      </w:r>
    </w:p>
    <w:p>
      <w:pPr>
        <w:pStyle w:val="ListParagraph"/>
        <w:numPr>
          <w:ilvl w:val="0"/>
          <w:numId w:val="2"/>
        </w:numPr>
        <w:spacing w:after="80"/>
      </w:pPr>
      <w:r>
        <w:rPr>
          <w:sz w:val="21"/>
          <w:szCs w:val="21"/>
        </w:rPr>
        <w:t xml:space="preserve">Schnellzugriffs-Kacheln zu den Hauptbereichen Projektpool, Leitfäden und Idee &amp; Hintergrund.</w:t>
      </w:r>
    </w:p>
    <w:p>
      <w:pPr>
        <w:pStyle w:val="ListParagraph"/>
        <w:numPr>
          <w:ilvl w:val="0"/>
          <w:numId w:val="2"/>
        </w:numPr>
        <w:spacing w:after="80"/>
      </w:pPr>
      <w:r>
        <w:rPr>
          <w:sz w:val="21"/>
          <w:szCs w:val="21"/>
        </w:rPr>
        <w:t xml:space="preserve">Bereich „Neue Projekte“: Grid mit zuletzt hinzugefügten Projekten (Bild, Kategorie-Badge, Stadt, Titel), Verlinkung auf die jeweilige Steckbrief-Seite.</w:t>
      </w:r>
    </w:p>
    <w:p>
      <w:pPr>
        <w:pStyle w:val="ListParagraph"/>
        <w:numPr>
          <w:ilvl w:val="0"/>
          <w:numId w:val="2"/>
        </w:numPr>
        <w:spacing w:after="80"/>
      </w:pPr>
      <w:r>
        <w:rPr>
          <w:sz w:val="21"/>
          <w:szCs w:val="21"/>
        </w:rPr>
        <w:t xml:space="preserve">Infoband zum Aktionsbündnis „Innenstädte mit Zukunft“ mit weiterführendem Link.</w:t>
      </w:r>
    </w:p>
    <w:p>
      <w:pPr>
        <w:pStyle w:val="ListParagraph"/>
        <w:numPr>
          <w:ilvl w:val="0"/>
          <w:numId w:val="2"/>
        </w:numPr>
        <w:spacing w:after="80"/>
      </w:pPr>
      <w:r>
        <w:rPr>
          <w:sz w:val="21"/>
          <w:szCs w:val="21"/>
        </w:rPr>
        <w:t xml:space="preserve">Bereich mit Träger-/Partnerlogos.</w:t>
      </w:r>
    </w:p>
    <w:p>
      <w:pPr>
        <w:pStyle w:val="ListParagraph"/>
        <w:numPr>
          <w:ilvl w:val="0"/>
          <w:numId w:val="2"/>
        </w:numPr>
        <w:spacing w:after="80"/>
      </w:pPr>
      <w:r>
        <w:rPr>
          <w:sz w:val="21"/>
          <w:szCs w:val="21"/>
        </w:rPr>
        <w:t xml:space="preserve">Footer mit Kontakt, rechtlichen Hinweisen (Impressum, Datenschutzerklärung, Barrierefreiheitserklärung), Sitemap-Links, Social-Media-Links und Cookie-Einstellungen.</w:t>
      </w:r>
    </w:p>
    <w:p>
      <w:pPr>
        <w:pStyle w:val="Heading2"/>
        <w:spacing w:after="120" w:before="240"/>
      </w:pPr>
      <w:r>
        <w:rPr>
          <w:b/>
          <w:bCs/>
          <w:color w:val="18181B"/>
          <w:sz w:val="24"/>
          <w:szCs w:val="24"/>
        </w:rPr>
        <w:t xml:space="preserve">3.2 Idee</w:t>
      </w:r>
    </w:p>
    <w:p>
      <w:pPr>
        <w:pStyle w:val="ListParagraph"/>
        <w:numPr>
          <w:ilvl w:val="0"/>
          <w:numId w:val="2"/>
        </w:numPr>
        <w:spacing w:after="80"/>
      </w:pPr>
      <w:r>
        <w:rPr>
          <w:sz w:val="21"/>
          <w:szCs w:val="21"/>
        </w:rPr>
        <w:t xml:space="preserve">Redaktioneller Fließtext zum Hintergrund des Aktionsbündnisses „Innenstädte mit Zukunft“ und zur Entstehung des KOMPASS.</w:t>
      </w:r>
    </w:p>
    <w:p>
      <w:pPr>
        <w:pStyle w:val="ListParagraph"/>
        <w:numPr>
          <w:ilvl w:val="0"/>
          <w:numId w:val="2"/>
        </w:numPr>
        <w:spacing w:after="80"/>
      </w:pPr>
      <w:r>
        <w:rPr>
          <w:sz w:val="21"/>
          <w:szCs w:val="21"/>
        </w:rPr>
        <w:t xml:space="preserve">Sidebar mit weiterführenden Links (u. a. Stadtentwicklung Thüringen, aktuelle Handelsstudie, AG Leerstandsbewältigung).</w:t>
      </w:r>
    </w:p>
    <w:p>
      <w:pPr>
        <w:pStyle w:val="ListParagraph"/>
        <w:numPr>
          <w:ilvl w:val="0"/>
          <w:numId w:val="2"/>
        </w:numPr>
        <w:spacing w:after="80"/>
      </w:pPr>
      <w:r>
        <w:rPr>
          <w:sz w:val="21"/>
          <w:szCs w:val="21"/>
        </w:rPr>
        <w:t xml:space="preserve">Hervorgehobener Verweiskasten zur AG Leerstandsbewältigung.</w:t>
      </w:r>
    </w:p>
    <w:p>
      <w:pPr>
        <w:pStyle w:val="Heading2"/>
        <w:spacing w:after="120" w:before="240"/>
      </w:pPr>
      <w:r>
        <w:rPr>
          <w:b/>
          <w:bCs/>
          <w:color w:val="18181B"/>
          <w:sz w:val="24"/>
          <w:szCs w:val="24"/>
        </w:rPr>
        <w:t xml:space="preserve">3.3 Leitfäden</w:t>
      </w:r>
    </w:p>
    <w:p>
      <w:pPr>
        <w:pStyle w:val="ListParagraph"/>
        <w:numPr>
          <w:ilvl w:val="0"/>
          <w:numId w:val="2"/>
        </w:numPr>
        <w:spacing w:after="80"/>
      </w:pPr>
      <w:r>
        <w:rPr>
          <w:sz w:val="21"/>
          <w:szCs w:val="21"/>
        </w:rPr>
        <w:t xml:space="preserve">Redaktionell pflegbare Liste verfügbarer Leitfäden (aktuell 3 Einträge, erweiterbar).</w:t>
      </w:r>
    </w:p>
    <w:p>
      <w:pPr>
        <w:pStyle w:val="ListParagraph"/>
        <w:numPr>
          <w:ilvl w:val="0"/>
          <w:numId w:val="2"/>
        </w:numPr>
        <w:spacing w:after="80"/>
      </w:pPr>
      <w:r>
        <w:rPr>
          <w:sz w:val="21"/>
          <w:szCs w:val="21"/>
        </w:rPr>
        <w:t xml:space="preserve">Je Leitfaden: Titel, Vorschaubild/Thumbnail sowie die Aktionen „Leitfaden lesen“ (Online-Ansicht) und „PDF herunterladen“.</w:t>
      </w:r>
    </w:p>
    <w:p>
      <w:pPr>
        <w:pStyle w:val="Heading2"/>
        <w:spacing w:after="120" w:before="240"/>
      </w:pPr>
      <w:r>
        <w:rPr>
          <w:b/>
          <w:bCs/>
          <w:color w:val="18181B"/>
          <w:sz w:val="24"/>
          <w:szCs w:val="24"/>
        </w:rPr>
        <w:t xml:space="preserve">3.4 Projektpool – Übersicht (Liste &amp; Karte)</w:t>
      </w:r>
    </w:p>
    <w:p>
      <w:pPr>
        <w:pStyle w:val="ListParagraph"/>
        <w:numPr>
          <w:ilvl w:val="0"/>
          <w:numId w:val="2"/>
        </w:numPr>
        <w:spacing w:after="80"/>
      </w:pPr>
      <w:r>
        <w:rPr>
          <w:sz w:val="21"/>
          <w:szCs w:val="21"/>
        </w:rPr>
        <w:t xml:space="preserve">Umschaltbare Ansicht zwischen Liste und Karte über einen Tab-Umschalter; Filter und Suche gelten für beide Ansichten identisch.</w:t>
      </w:r>
    </w:p>
    <w:p>
      <w:pPr>
        <w:pStyle w:val="ListParagraph"/>
        <w:numPr>
          <w:ilvl w:val="0"/>
          <w:numId w:val="2"/>
        </w:numPr>
        <w:spacing w:after="80"/>
      </w:pPr>
      <w:r>
        <w:rPr>
          <w:sz w:val="21"/>
          <w:szCs w:val="21"/>
        </w:rPr>
        <w:t xml:space="preserve">Stichwortsuche (Stadt, Projekttitel), mit den Filtern live kombinierbar.</w:t>
      </w:r>
    </w:p>
    <w:p>
      <w:pPr>
        <w:pStyle w:val="ListParagraph"/>
        <w:numPr>
          <w:ilvl w:val="0"/>
          <w:numId w:val="2"/>
        </w:numPr>
        <w:spacing w:after="80"/>
      </w:pPr>
      <w:r>
        <w:rPr>
          <w:sz w:val="21"/>
          <w:szCs w:val="21"/>
        </w:rPr>
        <w:t xml:space="preserve">Permanent sichtbare Filter-Sidebar (statt einer versteckten Accordion-Lösung) mit folgenden Facetten:</w:t>
      </w:r>
    </w:p>
    <w:p>
      <w:pPr>
        <w:pStyle w:val="ListParagraph"/>
        <w:numPr>
          <w:ilvl w:val="1"/>
          <w:numId w:val="2"/>
        </w:numPr>
        <w:spacing w:after="80"/>
      </w:pPr>
      <w:r>
        <w:rPr>
          <w:sz w:val="21"/>
          <w:szCs w:val="21"/>
        </w:rPr>
        <w:t xml:space="preserve">Kategorie (Leerstandstyp), Mehrfachauswahl, mit Erläuterungs-Symbol (siehe übergreifende Funktionen)</w:t>
      </w:r>
    </w:p>
    <w:p>
      <w:pPr>
        <w:pStyle w:val="ListParagraph"/>
        <w:numPr>
          <w:ilvl w:val="1"/>
          <w:numId w:val="2"/>
        </w:numPr>
        <w:spacing w:after="80"/>
      </w:pPr>
      <w:r>
        <w:rPr>
          <w:sz w:val="21"/>
          <w:szCs w:val="21"/>
        </w:rPr>
        <w:t xml:space="preserve">Nutzungsart nach Projektabschluss, Mehrfachauswahl, mit Erläuterungs-Symbol</w:t>
      </w:r>
    </w:p>
    <w:p>
      <w:pPr>
        <w:pStyle w:val="ListParagraph"/>
        <w:numPr>
          <w:ilvl w:val="1"/>
          <w:numId w:val="2"/>
        </w:numPr>
        <w:spacing w:after="80"/>
      </w:pPr>
      <w:r>
        <w:rPr>
          <w:sz w:val="21"/>
          <w:szCs w:val="21"/>
        </w:rPr>
        <w:t xml:space="preserve">Projektzweck, Mehrfachauswahl, eingeklappt (Akkordeon), mit Erläuterungs-Symbol</w:t>
      </w:r>
    </w:p>
    <w:p>
      <w:pPr>
        <w:pStyle w:val="ListParagraph"/>
        <w:numPr>
          <w:ilvl w:val="1"/>
          <w:numId w:val="2"/>
        </w:numPr>
        <w:spacing w:after="80"/>
      </w:pPr>
      <w:r>
        <w:rPr>
          <w:sz w:val="21"/>
          <w:szCs w:val="21"/>
        </w:rPr>
        <w:t xml:space="preserve">Dauer des Leerstands vor Projektstart (kurzfristig 1–2 Jahre / mittelfristig 3–5 Jahre / langfristig über 5 Jahre), eingeklappt</w:t>
      </w:r>
    </w:p>
    <w:p>
      <w:pPr>
        <w:pStyle w:val="ListParagraph"/>
        <w:numPr>
          <w:ilvl w:val="1"/>
          <w:numId w:val="2"/>
        </w:numPr>
        <w:spacing w:after="80"/>
      </w:pPr>
      <w:r>
        <w:rPr>
          <w:sz w:val="21"/>
          <w:szCs w:val="21"/>
        </w:rPr>
        <w:t xml:space="preserve">Gesamtkosten des Projektes (Kostenbandbreiten), eingeklappt</w:t>
      </w:r>
    </w:p>
    <w:p>
      <w:pPr>
        <w:pStyle w:val="ListParagraph"/>
        <w:numPr>
          <w:ilvl w:val="1"/>
          <w:numId w:val="2"/>
        </w:numPr>
        <w:spacing w:after="80"/>
      </w:pPr>
      <w:r>
        <w:rPr>
          <w:sz w:val="21"/>
          <w:szCs w:val="21"/>
        </w:rPr>
        <w:t xml:space="preserve">Förderung erhalten (ja/nein), eingeklappt</w:t>
      </w:r>
    </w:p>
    <w:p>
      <w:pPr>
        <w:pStyle w:val="ListParagraph"/>
        <w:numPr>
          <w:ilvl w:val="0"/>
          <w:numId w:val="2"/>
        </w:numPr>
        <w:spacing w:after="80"/>
      </w:pPr>
      <w:r>
        <w:rPr>
          <w:sz w:val="21"/>
          <w:szCs w:val="21"/>
        </w:rPr>
        <w:t xml:space="preserve">Funktion „Filter zurücksetzen“.</w:t>
      </w:r>
    </w:p>
    <w:p>
      <w:pPr>
        <w:pStyle w:val="ListParagraph"/>
        <w:numPr>
          <w:ilvl w:val="0"/>
          <w:numId w:val="2"/>
        </w:numPr>
        <w:spacing w:after="80"/>
      </w:pPr>
      <w:r>
        <w:rPr>
          <w:sz w:val="21"/>
          <w:szCs w:val="21"/>
        </w:rPr>
        <w:t xml:space="preserve">Ergebniszähler, Sortierung und Paginierung der Ergebnisliste.</w:t>
      </w:r>
    </w:p>
    <w:p>
      <w:pPr>
        <w:pStyle w:val="ListParagraph"/>
        <w:numPr>
          <w:ilvl w:val="0"/>
          <w:numId w:val="2"/>
        </w:numPr>
        <w:spacing w:after="80"/>
      </w:pPr>
      <w:r>
        <w:rPr>
          <w:sz w:val="21"/>
          <w:szCs w:val="21"/>
        </w:rPr>
        <w:t xml:space="preserve">Projektkarten mit Bild, Kategorie-Badge, Stadt und Titel; Verlinkung zur jeweiligen Steckbrief-Seite.</w:t>
      </w:r>
    </w:p>
    <w:p>
      <w:pPr>
        <w:pStyle w:val="Heading2"/>
        <w:spacing w:after="120" w:before="240"/>
      </w:pPr>
      <w:r>
        <w:rPr>
          <w:b/>
          <w:bCs/>
          <w:color w:val="18181B"/>
          <w:sz w:val="24"/>
          <w:szCs w:val="24"/>
        </w:rPr>
        <w:t xml:space="preserve">3.5 Projektpool – Kartenansicht</w:t>
      </w:r>
    </w:p>
    <w:p>
      <w:pPr>
        <w:pStyle w:val="ListParagraph"/>
        <w:numPr>
          <w:ilvl w:val="0"/>
          <w:numId w:val="2"/>
        </w:numPr>
        <w:spacing w:after="80"/>
      </w:pPr>
      <w:r>
        <w:rPr>
          <w:sz w:val="21"/>
          <w:szCs w:val="21"/>
        </w:rPr>
        <w:t xml:space="preserve">Interaktive Kartendarstellung auf Basis von OpenStreetMap.</w:t>
      </w:r>
    </w:p>
    <w:p>
      <w:pPr>
        <w:pStyle w:val="ListParagraph"/>
        <w:numPr>
          <w:ilvl w:val="0"/>
          <w:numId w:val="2"/>
        </w:numPr>
        <w:spacing w:after="80"/>
      </w:pPr>
      <w:r>
        <w:rPr>
          <w:sz w:val="21"/>
          <w:szCs w:val="21"/>
        </w:rPr>
        <w:t xml:space="preserve">Kategorisierte, farblich codierte Marker-Icons nach </w:t>
      </w:r>
      <w:r>
        <w:rPr>
          <w:b/>
          <w:bCs/>
          <w:sz w:val="21"/>
          <w:szCs w:val="21"/>
        </w:rPr>
        <w:t xml:space="preserve">Nutzungsart nach Projektabschluss</w:t>
      </w:r>
      <w:r>
        <w:rPr>
          <w:sz w:val="21"/>
          <w:szCs w:val="21"/>
        </w:rPr>
        <w:t xml:space="preserve"> (Gewerbe / Wohnen / Mischnutzung / Sondernutzung) mit Legende; die übrigen Filter (Kategorie, Kosten, Förderung usw.) bleiben nutzbar, wirken sich jedoch bewusst nicht auf die Marker-Farbe aus, um die Kartendarstellung nicht zu überladen.</w:t>
      </w:r>
    </w:p>
    <w:p>
      <w:pPr>
        <w:pStyle w:val="ListParagraph"/>
        <w:numPr>
          <w:ilvl w:val="0"/>
          <w:numId w:val="2"/>
        </w:numPr>
        <w:spacing w:after="80"/>
      </w:pPr>
      <w:r>
        <w:rPr>
          <w:sz w:val="21"/>
          <w:szCs w:val="21"/>
        </w:rPr>
        <w:t xml:space="preserve">Klickbare Marker-Popups mit Kurzinfo (Bild, Nutzungsart-Badge, Stadt, Titel) und Verlinkung zum zugehörigen Steckbrief.</w:t>
      </w:r>
    </w:p>
    <w:p>
      <w:pPr>
        <w:pStyle w:val="ListParagraph"/>
        <w:numPr>
          <w:ilvl w:val="0"/>
          <w:numId w:val="2"/>
        </w:numPr>
        <w:spacing w:after="80"/>
      </w:pPr>
      <w:r>
        <w:rPr>
          <w:sz w:val="21"/>
          <w:szCs w:val="21"/>
        </w:rPr>
        <w:t xml:space="preserve">Ergebniszähler und Zoom-Steuerung.</w:t>
      </w:r>
    </w:p>
    <w:p>
      <w:pPr>
        <w:pStyle w:val="ListParagraph"/>
        <w:numPr>
          <w:ilvl w:val="0"/>
          <w:numId w:val="2"/>
        </w:numPr>
        <w:spacing w:after="80"/>
      </w:pPr>
      <w:r>
        <w:rPr>
          <w:sz w:val="21"/>
          <w:szCs w:val="21"/>
        </w:rPr>
        <w:t xml:space="preserve">Dieselbe Filter-Sidebar wie in der Listenansicht (3.4).</w:t>
      </w:r>
    </w:p>
    <w:p>
      <w:pPr>
        <w:pStyle w:val="Heading2"/>
        <w:spacing w:after="120" w:before="240"/>
      </w:pPr>
      <w:r>
        <w:rPr>
          <w:b/>
          <w:bCs/>
          <w:color w:val="18181B"/>
          <w:sz w:val="24"/>
          <w:szCs w:val="24"/>
        </w:rPr>
        <w:t xml:space="preserve">3.6 Projekt-Steckbrief (Objektprofil-Detailseite)</w:t>
      </w:r>
    </w:p>
    <w:p>
      <w:pPr>
        <w:pStyle w:val="ListParagraph"/>
        <w:numPr>
          <w:ilvl w:val="0"/>
          <w:numId w:val="2"/>
        </w:numPr>
        <w:spacing w:after="80"/>
      </w:pPr>
      <w:r>
        <w:rPr>
          <w:sz w:val="21"/>
          <w:szCs w:val="21"/>
        </w:rPr>
        <w:t xml:space="preserve">Breadcrumb-Navigation sowie Rücksprung-Link zum Projektpool.</w:t>
      </w:r>
    </w:p>
    <w:p>
      <w:pPr>
        <w:pStyle w:val="ListParagraph"/>
        <w:numPr>
          <w:ilvl w:val="0"/>
          <w:numId w:val="2"/>
        </w:numPr>
        <w:spacing w:after="80"/>
      </w:pPr>
      <w:r>
        <w:rPr>
          <w:sz w:val="21"/>
          <w:szCs w:val="21"/>
        </w:rPr>
        <w:t xml:space="preserve">Bildergalerie (Hauptbild sowie Vor-/Zurück-Navigation mit Thumbnail-Ansicht weiterer Bilder).</w:t>
      </w:r>
    </w:p>
    <w:p>
      <w:pPr>
        <w:pStyle w:val="ListParagraph"/>
        <w:numPr>
          <w:ilvl w:val="0"/>
          <w:numId w:val="2"/>
        </w:numPr>
        <w:spacing w:after="80"/>
      </w:pPr>
      <w:r>
        <w:rPr>
          <w:sz w:val="21"/>
          <w:szCs w:val="21"/>
        </w:rPr>
        <w:t xml:space="preserve">Reiter/Tabs: Projektziel, Projektbeschreibung, Projektfahrplan, Partnerschaften, Hindernisse &amp; wichtige Hinweise, Kontakte.</w:t>
      </w:r>
    </w:p>
    <w:p>
      <w:pPr>
        <w:pStyle w:val="ListParagraph"/>
        <w:numPr>
          <w:ilvl w:val="0"/>
          <w:numId w:val="2"/>
        </w:numPr>
        <w:spacing w:after="80"/>
      </w:pPr>
      <w:r>
        <w:rPr>
          <w:sz w:val="21"/>
          <w:szCs w:val="21"/>
        </w:rPr>
        <w:t xml:space="preserve">Verlinkung zur Projekthomepage, sofern vorhanden.</w:t>
      </w:r>
    </w:p>
    <w:p>
      <w:pPr>
        <w:pStyle w:val="ListParagraph"/>
        <w:numPr>
          <w:ilvl w:val="0"/>
          <w:numId w:val="2"/>
        </w:numPr>
        <w:spacing w:after="80"/>
      </w:pPr>
      <w:r>
        <w:rPr>
          <w:sz w:val="21"/>
          <w:szCs w:val="21"/>
        </w:rPr>
        <w:t xml:space="preserve">Kategorie- und Nutzungsart-Kennzeichnung als Badges im Seitenkopf.</w:t>
      </w:r>
    </w:p>
    <w:p>
      <w:pPr>
        <w:pStyle w:val="ListParagraph"/>
        <w:numPr>
          <w:ilvl w:val="0"/>
          <w:numId w:val="2"/>
        </w:numPr>
        <w:spacing w:after="80"/>
      </w:pPr>
      <w:r>
        <w:rPr>
          <w:sz w:val="21"/>
          <w:szCs w:val="21"/>
        </w:rPr>
        <w:t xml:space="preserve">Eckdaten-Sidebar mit strukturierten Feldern: Stadt/Kommune, Einwohnerzahl, Projektträger, Eigentümerstruktur vor Projektstart, Projektzweck, Zeitraum des Projektes, Dauer des Leerstands vor Projektstart, Kategorie, Nutzungsart nach Projektabschluss, </w:t>
      </w:r>
      <w:r>
        <w:rPr>
          <w:b/>
          <w:bCs/>
          <w:sz w:val="21"/>
          <w:szCs w:val="21"/>
        </w:rPr>
        <w:t xml:space="preserve">Rechtliche Rahmenbedingungen</w:t>
      </w:r>
      <w:r>
        <w:rPr>
          <w:sz w:val="21"/>
          <w:szCs w:val="21"/>
        </w:rPr>
        <w:t xml:space="preserve"> (vormals „formelle Planungsinstrumente“), informelle Planungsinstrumente, Gesamtkosten des Projektes, Förderung/Förderprogramm.</w:t>
      </w:r>
    </w:p>
    <w:p>
      <w:pPr>
        <w:pStyle w:val="ListParagraph"/>
        <w:numPr>
          <w:ilvl w:val="0"/>
          <w:numId w:val="2"/>
        </w:numPr>
        <w:spacing w:after="80"/>
      </w:pPr>
      <w:r>
        <w:rPr>
          <w:sz w:val="21"/>
          <w:szCs w:val="21"/>
        </w:rPr>
        <w:t xml:space="preserve">Erläuterungs-Symbole bei den fachbegriffslastigen Eckdaten-Feldern (Projektzweck, Leerstandsdauer, Kategorie, Nutzungsart, Rechtliche Rahmenbedingungen, informelle Planungsinstrumente, Gesamtkosten).</w:t>
      </w:r>
    </w:p>
    <w:p>
      <w:pPr>
        <w:pStyle w:val="ListParagraph"/>
        <w:numPr>
          <w:ilvl w:val="0"/>
          <w:numId w:val="2"/>
        </w:numPr>
        <w:spacing w:after="80"/>
      </w:pPr>
      <w:r>
        <w:rPr>
          <w:b/>
          <w:bCs/>
          <w:sz w:val="21"/>
          <w:szCs w:val="21"/>
        </w:rPr>
        <w:t xml:space="preserve">Ampel-Darstellung „Personeller Aufwand“</w:t>
      </w:r>
      <w:r>
        <w:rPr>
          <w:sz w:val="21"/>
          <w:szCs w:val="21"/>
        </w:rPr>
        <w:t xml:space="preserve"> (Rot = hoch, Gelb = mittel, Grün = gering) als visuelle, auf einen Blick erfassbare Kennzahl anstelle der bisherigen granularen Stundenangabe; mit Erläuterungs-Symbol.</w:t>
      </w:r>
    </w:p>
    <w:p>
      <w:pPr>
        <w:pStyle w:val="ListParagraph"/>
        <w:numPr>
          <w:ilvl w:val="0"/>
          <w:numId w:val="2"/>
        </w:numPr>
        <w:spacing w:after="80"/>
      </w:pPr>
      <w:r>
        <w:rPr>
          <w:sz w:val="21"/>
          <w:szCs w:val="21"/>
        </w:rPr>
        <w:t xml:space="preserve">Kleine Lagekarte mit Standort-Pin in der Sidebar, verlinkt zur Projektpool-Kartenansicht mit vorselektiertem Projekt (neue Funktion gegenüber dem Bestand).</w:t>
      </w:r>
    </w:p>
    <w:p>
      <w:pPr>
        <w:pStyle w:val="Heading2"/>
        <w:spacing w:after="120" w:before="240"/>
      </w:pPr>
      <w:r>
        <w:rPr>
          <w:b/>
          <w:bCs/>
          <w:color w:val="18181B"/>
          <w:sz w:val="24"/>
          <w:szCs w:val="24"/>
        </w:rPr>
        <w:t xml:space="preserve">3.7 Projekt einreichen (Erfassungsformular)</w:t>
      </w:r>
    </w:p>
    <w:p>
      <w:pPr>
        <w:pStyle w:val="ListParagraph"/>
        <w:numPr>
          <w:ilvl w:val="0"/>
          <w:numId w:val="2"/>
        </w:numPr>
        <w:spacing w:after="80"/>
      </w:pPr>
      <w:r>
        <w:rPr>
          <w:sz w:val="21"/>
          <w:szCs w:val="21"/>
        </w:rPr>
        <w:t xml:space="preserve">Gliederung des Formulars in sechs nummerierte Abschnitte mit begleitender Fortschritts-Sidebar (Sprungmarken zu den Abschnitten, Zeitschätzung „ca. 15–20 Minuten“) anstelle einer langen, unstrukturierten Formularseite:</w:t>
      </w:r>
    </w:p>
    <w:p>
      <w:pPr>
        <w:pStyle w:val="ListParagraph"/>
        <w:numPr>
          <w:ilvl w:val="1"/>
          <w:numId w:val="2"/>
        </w:numPr>
        <w:spacing w:after="80"/>
      </w:pPr>
      <w:r>
        <w:rPr>
          <w:sz w:val="21"/>
          <w:szCs w:val="21"/>
        </w:rPr>
        <w:t xml:space="preserve">1. Basisdaten (Projekttitel, Stadt/Kommune, Einwohnerzahl, Projektträger, Eigentümerstruktur)</w:t>
      </w:r>
    </w:p>
    <w:p>
      <w:pPr>
        <w:pStyle w:val="ListParagraph"/>
        <w:numPr>
          <w:ilvl w:val="1"/>
          <w:numId w:val="2"/>
        </w:numPr>
        <w:spacing w:after="80"/>
      </w:pPr>
      <w:r>
        <w:rPr>
          <w:sz w:val="21"/>
          <w:szCs w:val="21"/>
        </w:rPr>
        <w:t xml:space="preserve">2. Klassifizierung (Projektzweck, Kategorie, Nutzungsart, Dauer des Leerstands vor Projektstart)</w:t>
      </w:r>
    </w:p>
    <w:p>
      <w:pPr>
        <w:pStyle w:val="ListParagraph"/>
        <w:numPr>
          <w:ilvl w:val="1"/>
          <w:numId w:val="2"/>
        </w:numPr>
        <w:spacing w:after="80"/>
      </w:pPr>
      <w:r>
        <w:rPr>
          <w:sz w:val="21"/>
          <w:szCs w:val="21"/>
        </w:rPr>
        <w:t xml:space="preserve">3. Planungsinstrumente (informelle Planungsinstrumente, Rechtliche Rahmenbedingungen)</w:t>
      </w:r>
    </w:p>
    <w:p>
      <w:pPr>
        <w:pStyle w:val="ListParagraph"/>
        <w:numPr>
          <w:ilvl w:val="1"/>
          <w:numId w:val="2"/>
        </w:numPr>
        <w:spacing w:after="80"/>
      </w:pPr>
      <w:r>
        <w:rPr>
          <w:sz w:val="21"/>
          <w:szCs w:val="21"/>
        </w:rPr>
        <w:t xml:space="preserve">4. Beschreibung &amp; Zeitplan (Zeitraum, Projektziel, Projektbeschreibung, Projektfahrplan, Partnerschaften)</w:t>
      </w:r>
    </w:p>
    <w:p>
      <w:pPr>
        <w:pStyle w:val="ListParagraph"/>
        <w:numPr>
          <w:ilvl w:val="1"/>
          <w:numId w:val="2"/>
        </w:numPr>
        <w:spacing w:after="80"/>
      </w:pPr>
      <w:r>
        <w:rPr>
          <w:sz w:val="21"/>
          <w:szCs w:val="21"/>
        </w:rPr>
        <w:t xml:space="preserve">5. Aufwand, Kosten &amp; Förderung (Personeller Aufwand, Gesamtkosten, Förderung/Förderprogramm, Hindernisse &amp; wichtige Hinweise)</w:t>
      </w:r>
    </w:p>
    <w:p>
      <w:pPr>
        <w:pStyle w:val="ListParagraph"/>
        <w:numPr>
          <w:ilvl w:val="1"/>
          <w:numId w:val="2"/>
        </w:numPr>
        <w:spacing w:after="80"/>
      </w:pPr>
      <w:r>
        <w:rPr>
          <w:sz w:val="21"/>
          <w:szCs w:val="21"/>
        </w:rPr>
        <w:t xml:space="preserve">6. Medien &amp; Kontakt (Projektbilder, Dokumente, Projekthomepage, Adresse, Kontakte, E-Mail für Rückfragen)</w:t>
      </w:r>
    </w:p>
    <w:p>
      <w:pPr>
        <w:pStyle w:val="ListParagraph"/>
        <w:numPr>
          <w:ilvl w:val="0"/>
          <w:numId w:val="2"/>
        </w:numPr>
        <w:spacing w:after="80"/>
      </w:pPr>
      <w:r>
        <w:rPr>
          <w:sz w:val="21"/>
          <w:szCs w:val="21"/>
        </w:rPr>
        <w:t xml:space="preserve">Mehrfachauswahl-Felder als kompakte Chip-Auswahl statt langer Vertikallisten mit Checkboxen.</w:t>
      </w:r>
    </w:p>
    <w:p>
      <w:pPr>
        <w:pStyle w:val="ListParagraph"/>
        <w:numPr>
          <w:ilvl w:val="0"/>
          <w:numId w:val="2"/>
        </w:numPr>
        <w:spacing w:after="80"/>
      </w:pPr>
      <w:r>
        <w:rPr>
          <w:sz w:val="21"/>
          <w:szCs w:val="21"/>
        </w:rPr>
        <w:t xml:space="preserve">Erläuterungs-Symbole bei fachbegriffslastigen Feldern (Kategorie, Nutzungsart, Dauer des Leerstands, informelle Planungsinstrumente, Rechtliche Rahmenbedingungen, Personeller Aufwand).</w:t>
      </w:r>
    </w:p>
    <w:p>
      <w:pPr>
        <w:pStyle w:val="ListParagraph"/>
        <w:numPr>
          <w:ilvl w:val="0"/>
          <w:numId w:val="2"/>
        </w:numPr>
        <w:spacing w:after="80"/>
      </w:pPr>
      <w:r>
        <w:rPr>
          <w:b/>
          <w:bCs/>
          <w:sz w:val="21"/>
          <w:szCs w:val="21"/>
        </w:rPr>
        <w:t xml:space="preserve">Ampel-Auswahl „Personeller Aufwand“</w:t>
      </w:r>
      <w:r>
        <w:rPr>
          <w:sz w:val="21"/>
          <w:szCs w:val="21"/>
        </w:rPr>
        <w:t xml:space="preserve"> (Rot/Gelb/Grün) anstelle der bisherigen granularen Stundenfelder; Auswahl erscheint später identisch im Steckbrief (siehe 3.6).</w:t>
      </w:r>
    </w:p>
    <w:p>
      <w:pPr>
        <w:pStyle w:val="ListParagraph"/>
        <w:numPr>
          <w:ilvl w:val="0"/>
          <w:numId w:val="2"/>
        </w:numPr>
        <w:spacing w:after="80"/>
      </w:pPr>
      <w:r>
        <w:rPr>
          <w:sz w:val="21"/>
          <w:szCs w:val="21"/>
        </w:rPr>
        <w:t xml:space="preserve">Zeichenzähler bei längenbegrenzten Textfeldern (Projektziel: 250 Zeichen; Projektbeschreibung: 2.500 Zeichen; Hindernisse &amp; wichtige Hinweise: 1.500 Zeichen).</w:t>
      </w:r>
    </w:p>
    <w:p>
      <w:pPr>
        <w:pStyle w:val="ListParagraph"/>
        <w:numPr>
          <w:ilvl w:val="0"/>
          <w:numId w:val="2"/>
        </w:numPr>
        <w:spacing w:after="80"/>
      </w:pPr>
      <w:r>
        <w:rPr>
          <w:sz w:val="21"/>
          <w:szCs w:val="21"/>
        </w:rPr>
        <w:t xml:space="preserve">Datei-Upload für Projektbilder (JPG/PNG, max. 2 MB je Datei) und Dokumente (PDF, max. 10 MB je Datei).</w:t>
      </w:r>
    </w:p>
    <w:p>
      <w:pPr>
        <w:pStyle w:val="ListParagraph"/>
        <w:numPr>
          <w:ilvl w:val="0"/>
          <w:numId w:val="2"/>
        </w:numPr>
        <w:spacing w:after="80"/>
      </w:pPr>
      <w:r>
        <w:rPr>
          <w:sz w:val="21"/>
          <w:szCs w:val="21"/>
        </w:rPr>
        <w:t xml:space="preserve">Klare Kennzeichnung von Pflichtfeldern und optionalen Feldern.</w:t>
      </w:r>
    </w:p>
    <w:p>
      <w:pPr>
        <w:pStyle w:val="ListParagraph"/>
        <w:numPr>
          <w:ilvl w:val="0"/>
          <w:numId w:val="2"/>
        </w:numPr>
        <w:spacing w:after="80"/>
      </w:pPr>
      <w:r>
        <w:rPr>
          <w:sz w:val="21"/>
          <w:szCs w:val="21"/>
        </w:rPr>
        <w:t xml:space="preserve">Einverständniserklärung zur Bild- und Textnutzung als Pflicht-Checkbox vor dem Absenden.</w:t>
      </w:r>
    </w:p>
    <w:p>
      <w:pPr>
        <w:pStyle w:val="Heading1"/>
        <w:spacing w:after="160" w:before="320"/>
      </w:pPr>
      <w:r>
        <w:rPr>
          <w:b/>
          <w:bCs/>
          <w:color w:val="18181B"/>
          <w:sz w:val="27"/>
          <w:szCs w:val="27"/>
        </w:rPr>
        <w:t xml:space="preserve">4. Übergreifende Funktionen</w:t>
      </w:r>
    </w:p>
    <w:p>
      <w:pPr>
        <w:pStyle w:val="ListParagraph"/>
        <w:numPr>
          <w:ilvl w:val="0"/>
          <w:numId w:val="2"/>
        </w:numPr>
        <w:spacing w:after="80"/>
      </w:pPr>
      <w:r>
        <w:rPr>
          <w:sz w:val="21"/>
          <w:szCs w:val="21"/>
        </w:rPr>
        <w:t xml:space="preserve">Einheitliche Kategorien (Leerstandstyp, Nutzungsart, Projektzweck) mit konsistenter, seitenübergreifender Farbcodierung auf Karte, Projektpool-Übersicht und Steckbrief.</w:t>
      </w:r>
    </w:p>
    <w:p>
      <w:pPr>
        <w:pStyle w:val="ListParagraph"/>
        <w:numPr>
          <w:ilvl w:val="0"/>
          <w:numId w:val="2"/>
        </w:numPr>
        <w:spacing w:after="80"/>
      </w:pPr>
      <w:r>
        <w:rPr>
          <w:b/>
          <w:bCs/>
          <w:sz w:val="21"/>
          <w:szCs w:val="21"/>
        </w:rPr>
        <w:t xml:space="preserve">Durchgängiges Erläuterungs-Muster:</w:t>
      </w:r>
      <w:r>
        <w:rPr>
          <w:sz w:val="21"/>
          <w:szCs w:val="21"/>
        </w:rPr>
        <w:t xml:space="preserve"> Ein Info-Symbol neben fachbegriffslastigen Feldern und Filtern (u. a. Leerstandstyp, Nutzungsart, Projektzweck, Rechtliche Rahmenbedingungen) blendet bei Hover eine laienverständliche Erläuterung ein. Dies berücksichtigt, dass sich die Seite nicht nur an Fachpublikum, sondern ausdrücklich auch an fachfremde Bürger:innen richtet; die konkreten Erläuterungstexte sind redaktionell auf Basis der bestehenden Kategorisierung abzustimmen.</w:t>
      </w:r>
    </w:p>
    <w:p>
      <w:pPr>
        <w:pStyle w:val="ListParagraph"/>
        <w:numPr>
          <w:ilvl w:val="0"/>
          <w:numId w:val="2"/>
        </w:numPr>
        <w:spacing w:after="80"/>
      </w:pPr>
      <w:r>
        <w:rPr>
          <w:b/>
          <w:bCs/>
          <w:sz w:val="21"/>
          <w:szCs w:val="21"/>
        </w:rPr>
        <w:t xml:space="preserve">Ampel-Darstellung „Personeller Aufwand“</w:t>
      </w:r>
      <w:r>
        <w:rPr>
          <w:sz w:val="21"/>
          <w:szCs w:val="21"/>
        </w:rPr>
        <w:t xml:space="preserve"> (Rot/Gelb/Grün) durchgängig in Erfassungsformular (3.7) und Steckbrief (3.6) verwendet, ersetzt die bisherige granulare Stundenerfassung.</w:t>
      </w:r>
    </w:p>
    <w:p>
      <w:pPr>
        <w:pStyle w:val="ListParagraph"/>
        <w:numPr>
          <w:ilvl w:val="0"/>
          <w:numId w:val="2"/>
        </w:numPr>
        <w:spacing w:after="80"/>
      </w:pPr>
      <w:r>
        <w:rPr>
          <w:sz w:val="21"/>
          <w:szCs w:val="21"/>
        </w:rPr>
        <w:t xml:space="preserve">Konsistentes Layout-Grundgerüst (Kopf- und Fußzeile, Navigation) auf allen Seiten.</w:t>
      </w:r>
    </w:p>
    <w:p>
      <w:pPr>
        <w:pStyle w:val="ListParagraph"/>
        <w:numPr>
          <w:ilvl w:val="0"/>
          <w:numId w:val="2"/>
        </w:numPr>
        <w:spacing w:after="80"/>
      </w:pPr>
      <w:r>
        <w:rPr>
          <w:sz w:val="21"/>
          <w:szCs w:val="21"/>
        </w:rPr>
        <w:t xml:space="preserve">Responsive Darstellung für Desktop- und Mobilgeräte (siehe auch Abschnitt 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2026-09-22T11:56:15.249Z</dcterms:created>
  <dcterms:modified xsi:type="dcterms:W3CDTF">2026-09-22T11:56:15.272Z</dcterms:modified>
</cp:coreProperties>
</file>

<file path=docProps/custom.xml><?xml version="1.0" encoding="utf-8"?>
<Properties xmlns="http://schemas.openxmlformats.org/officeDocument/2006/custom-properties" xmlns:vt="http://schemas.openxmlformats.org/officeDocument/2006/docPropsVTypes"/>
</file>