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3-創新構想" w:id="1"/>
      <w:r>
        <w:t xml:space="preserve">3. 創新構想</w:t>
      </w:r>
      <w:bookmarkEnd w:id="1"/>
    </w:p>
    <w:p>
      <w:pPr>
        <w:pStyle w:val="Heading2"/>
      </w:pPr>
      <w:bookmarkStart w:name="3-1-解決方案概述" w:id="1"/>
      <w:r>
        <w:t xml:space="preserve">3.1 解決方案概述</w:t>
      </w:r>
      <w:bookmarkEnd w:id="1"/>
    </w:p>
    <w:p>
      <w:r>
        <w:t xml:space="preserve">本解決方案以「AI驅動型」。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政策感知層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t xml:space="preserve">第一點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測試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標題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1</w:t>
            </w:r>
          </w:p>
        </w:tc>
        <w:tc>
          <w:tcPr>
            <w:tcW w:type="auto" w:w="100"/>
            <w:vAlign w:val="center"/>
          </w:tcPr>
          <w:p>
            <w:r>
              <w:t xml:space="preserve">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2026-02-28T05:56:07.903Z</dcterms:created>
  <dcterms:modified xsi:type="dcterms:W3CDTF">2026-02-28T05:56:07.903Z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