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2855"/>
          <w:sz w:val="32"/>
        </w:rPr>
        <w:t>BÁO CÁO TIN TỨC TỔNG HỢP &amp; PHÂN TÍCH CHUYÊN MÔN</w:t>
      </w:r>
    </w:p>
    <w:p>
      <w:pPr>
        <w:jc w:val="center"/>
      </w:pPr>
      <w:r>
        <w:rPr>
          <w:rFonts w:ascii="Times New Roman" w:hAnsi="Times New Roman"/>
          <w:i/>
          <w:color w:val="64748B"/>
          <w:sz w:val="22"/>
        </w:rPr>
        <w:t>Hệ thống Thư Ký AI Tin Tức — Trực thuộc Ban Điều hành HB MIND</w:t>
      </w:r>
    </w:p>
    <w:tbl>
      <w:tblPr>
        <w:tblW w:type="auto" w:w="0"/>
        <w:jc w:val="center"/>
        <w:tblLayout w:type="fixed"/>
        <w:tblLook w:firstColumn="1" w:firstRow="1" w:lastColumn="0" w:lastRow="0" w:noHBand="0" w:noVBand="1" w:val="04A0"/>
      </w:tblPr>
      <w:tblGrid>
        <w:gridCol w:w="4824"/>
        <w:gridCol w:w="4824"/>
      </w:tblGrid>
      <w:tr>
        <w:tc>
          <w:tcPr>
            <w:tcW w:type="dxa" w:w="2592"/>
          </w:tcPr>
          <w:p>
            <w:r>
              <w:rPr>
                <w:rFonts w:ascii="Times New Roman" w:hAnsi="Times New Roman"/>
                <w:b/>
                <w:sz w:val="21"/>
              </w:rPr>
              <w:t>Thư ký phụ trách:</w:t>
            </w:r>
          </w:p>
        </w:tc>
        <w:tc>
          <w:tcPr>
            <w:tcW w:type="dxa" w:w="6912"/>
          </w:tcPr>
          <w:p>
            <w:r>
              <w:rPr>
                <w:rFonts w:ascii="Times New Roman" w:hAnsi="Times New Roman"/>
                <w:sz w:val="21"/>
              </w:rPr>
              <w:t>Thư ký Thạch Sanh (Hình tượng cổ tích: Thạch Sanh)</w:t>
            </w:r>
          </w:p>
        </w:tc>
      </w:tr>
      <w:tr>
        <w:tc>
          <w:tcPr>
            <w:tcW w:type="dxa" w:w="2592"/>
          </w:tcPr>
          <w:p>
            <w:r>
              <w:rPr>
                <w:rFonts w:ascii="Times New Roman" w:hAnsi="Times New Roman"/>
                <w:b/>
                <w:sz w:val="21"/>
              </w:rPr>
              <w:t>Vai trò chức năng:</w:t>
            </w:r>
          </w:p>
        </w:tc>
        <w:tc>
          <w:tcPr>
            <w:tcW w:type="dxa" w:w="6912"/>
          </w:tcPr>
          <w:p>
            <w:r>
              <w:rPr>
                <w:rFonts w:ascii="Times New Roman" w:hAnsi="Times New Roman"/>
                <w:sz w:val="21"/>
              </w:rPr>
              <w:t>Thư ký Tổng hợp Tin tức &amp; Cảnh báo Rủi ro Pháp lý</w:t>
            </w:r>
          </w:p>
        </w:tc>
      </w:tr>
      <w:tr>
        <w:tc>
          <w:tcPr>
            <w:tcW w:type="dxa" w:w="2592"/>
          </w:tcPr>
          <w:p>
            <w:r>
              <w:rPr>
                <w:rFonts w:ascii="Times New Roman" w:hAnsi="Times New Roman"/>
                <w:b/>
                <w:sz w:val="21"/>
              </w:rPr>
              <w:t>Nội dung huấn luyện:</w:t>
            </w:r>
          </w:p>
        </w:tc>
        <w:tc>
          <w:tcPr>
            <w:tcW w:type="dxa" w:w="6912"/>
          </w:tcPr>
          <w:p>
            <w:r>
              <w:rPr>
                <w:rFonts w:ascii="Times New Roman" w:hAnsi="Times New Roman"/>
                <w:sz w:val="21"/>
              </w:rPr>
              <w:t>Tổng hợp tin tức và chính sách thuế mới nhất từ internet và mạng xã hội, phân loại thành 3 nhóm (cá nhân, hộ kinh doanh, tổ chức doanh nghiệp).</w:t>
              <w:br/>
              <w:t>- Người dùng yêu cầu cập nhật, tóm tắt tin tức hoặc chính sách thuế mới nhất trong ngày hoặc thời gian gần đây.</w:t>
              <w:br/>
              <w:t>- Người dùng yêu cầu phân chia thông tin thuế thành 3 nhóm: cá nhân, hộ kinh doanh, tổ chức doanh nghiệp.</w:t>
              <w:br/>
              <w:t>## Steps</w:t>
              <w:br/>
              <w:t>### 1. Tìm kiếm tin tức thuế mới nhất</w:t>
              <w:br/>
              <w:t>- Sử dụng công cụ tìm kiếm trên web để tra cứu các chính sách thuế, văn bản quy phạm pháp luật, nghị định, thông tư và thông tin điều hành mới nhất về thuế.</w:t>
              <w:br/>
              <w:t>- Từ khóa tìm kiếm nên bao gồm: chính sách thuế mới nhất, thuế TNCN, thuế GTGT, thuế TNDN, quản lý thuế hộ kinh doanh, tin thuế Tổng cục Thuế.</w:t>
              <w:br/>
              <w:br/>
              <w:t>### 2. Phân loại thông tin thành 3 phần</w:t>
              <w:br/>
              <w:t>- Phần 1: Dành cho cá nhân (thuế thu nhập cá nhân, giảm trừ gia cảnh, mã số thuế tích hợp CCCD, thuế thu nhập từ mạng xã hội/online, quyết toán thuế).</w:t>
              <w:br/>
              <w:t>- Phần 2: Dành cho hộ kinh doanh (chính sách thuế theo Nghị định 68, bỏ thuế khoán chuyển sang kê khai, ngưỡng doanh thu chịu thuế, thông báo tài khoản ngân hàng/ví điện tử, khấu trừ thuế trên sàn TMĐT).</w:t>
              <w:br/>
              <w:t>- Phần 3: Dành cho tổ chức doanh nghiệp (thuế TNDN, chính sách giảm thuế, gia hạn nộp thuế, hoàn thuế GTGT tự động, thuế xăng dầu, kiểm soát nghĩa vụ thuế doanh nghiệp FDI).</w:t>
              <w:br/>
              <w:br/>
              <w:t>### 5. Ghi nội dung vào tài liệu</w:t>
              <w:br/>
              <w:t>- Trình bày rõ ràng, chuyên nghiệp với các tiêu đề mục, gạch đầu dòng và trích dẫn nguồn tham khảo chính thống.</w:t>
              <w:br/>
              <w:br/>
              <w:t>### 6. Thông báo kết quả cho người dùng</w:t>
              <w:br/>
              <w:t>- Tóm tắt ngắn gọn các ý chính trong phản hồi.</w:t>
              <w:br/>
              <w:br/>
              <w:t>## Gotchas</w:t>
              <w:br/>
              <w:t>- Trích dẫn nguồn tin cậy từ các cổng thông tin chính thống như Báo Chính phủ, Bộ Tài chính, Tổng cục Thuế.</w:t>
            </w:r>
          </w:p>
        </w:tc>
      </w:tr>
      <w:tr>
        <w:tc>
          <w:tcPr>
            <w:tcW w:type="dxa" w:w="2592"/>
          </w:tcPr>
          <w:p>
            <w:r>
              <w:rPr>
                <w:rFonts w:ascii="Times New Roman" w:hAnsi="Times New Roman"/>
                <w:b/>
                <w:sz w:val="21"/>
              </w:rPr>
              <w:t>Thời gian thực hiện:</w:t>
            </w:r>
          </w:p>
        </w:tc>
        <w:tc>
          <w:tcPr>
            <w:tcW w:type="dxa" w:w="6912"/>
          </w:tcPr>
          <w:p>
            <w:r>
              <w:rPr>
                <w:rFonts w:ascii="Times New Roman" w:hAnsi="Times New Roman"/>
                <w:sz w:val="21"/>
              </w:rPr>
              <w:t>25/10/2026 17:29:54</w:t>
            </w:r>
          </w:p>
        </w:tc>
      </w:tr>
      <w:tr>
        <w:tc>
          <w:tcPr>
            <w:tcW w:type="dxa" w:w="2592"/>
          </w:tcPr>
          <w:p>
            <w:r>
              <w:rPr>
                <w:rFonts w:ascii="Times New Roman" w:hAnsi="Times New Roman"/>
                <w:b/>
                <w:sz w:val="21"/>
              </w:rPr>
              <w:t>Phương thức tra cứu:</w:t>
            </w:r>
          </w:p>
        </w:tc>
        <w:tc>
          <w:tcPr>
            <w:tcW w:type="dxa" w:w="6912"/>
          </w:tcPr>
          <w:p>
            <w:r>
              <w:rPr>
                <w:rFonts w:ascii="Times New Roman" w:hAnsi="Times New Roman"/>
                <w:sz w:val="21"/>
              </w:rPr>
              <w:t>Gemini AI Search Grounding &amp; Realtime Web Crawler</w:t>
            </w:r>
          </w:p>
        </w:tc>
      </w:tr>
    </w:tbl>
    <w:p/>
    <w:p>
      <w:r>
        <w:rPr>
          <w:rFonts w:ascii="Times New Roman" w:hAnsi="Times New Roman"/>
          <w:sz w:val="22"/>
        </w:rPr>
        <w:t>Kính gửi Quý Lãnh đạo,</w:t>
      </w:r>
    </w:p>
    <w:p>
      <w:r>
        <w:rPr>
          <w:rFonts w:ascii="Times New Roman" w:hAnsi="Times New Roman"/>
          <w:sz w:val="22"/>
        </w:rPr>
        <w:t>Với vai trò Thư ký Thạch Sanh, tôi xin trân trọng gửi đến Quý Lãnh đạo bản tổng hợp tin tức và cảnh báo rủi ro pháp lý về thuế mới nhất, được cập nhật đến ngày 25/10/2026. Các thông tin này được tổng hợp từ các nguồn đáng tin cậy, nhằm giúp Quý Lãnh đạo nắm bắt kịp thời diễn biến và đưa ra các quyết sách phù hợp.</w:t>
      </w:r>
    </w:p>
    <w:p>
      <w:r>
        <w:rPr>
          <w:rFonts w:ascii="Times New Roman" w:hAnsi="Times New Roman"/>
          <w:sz w:val="22"/>
        </w:rPr>
        <w:t>---</w:t>
      </w:r>
    </w:p>
    <w:p>
      <w:r>
        <w:rPr>
          <w:rFonts w:ascii="Times New Roman" w:hAnsi="Times New Roman"/>
          <w:b/>
          <w:color w:val="002855"/>
          <w:sz w:val="28"/>
        </w:rPr>
        <w:t>BÁO CÁO TỔNG HỢP TIN TỨC &amp; CẢNH BÁO RỦI RO PHÁP LÝ THUẾ MỚI NHẤT DÀNH CHO DOANH NGHIỆP (CẬP NHẬT NGÀY 25/10/2026)</w:t>
      </w:r>
    </w:p>
    <w:p>
      <w:r>
        <w:rPr>
          <w:rFonts w:ascii="Times New Roman" w:hAnsi="Times New Roman"/>
          <w:b/>
          <w:color w:val="0284C7"/>
          <w:sz w:val="25"/>
        </w:rPr>
        <w:t>1. TỔNG QUAN TÌNH HÌNH &amp; BỐI CẢNH MỚI NHẤT</w:t>
      </w:r>
    </w:p>
    <w:p>
      <w:r>
        <w:rPr>
          <w:rFonts w:ascii="Times New Roman" w:hAnsi="Times New Roman"/>
          <w:sz w:val="22"/>
        </w:rPr>
        <w:t>Trong bối cảnh hiện tại, cơ quan thuế đang tăng cường mạnh mẽ công tác quản lý tuân thủ và quản lý rủi ro, đặc biệt là đối với các tổ chức doanh nghiệp. Các chính sách và thông báo gần đây cho thấy xu hướng minh bạch hóa thông tin, siết chặt quản lý hóa đơn điện tử, và áp dụng các biện pháp cảnh báo rủi ro để phòng ngừa vi phạm. Điều này đòi hỏi các doanh nghiệp phải chủ động hơn trong việc rà soát, tuân thủ và giải trình nghĩa vụ thuế, tránh những rủi ro pháp lý có thể dẫn đến việc công khai thông tin hoặc bị xử lý vi phạm.</w:t>
      </w:r>
    </w:p>
    <w:p>
      <w:r>
        <w:rPr>
          <w:rFonts w:ascii="Times New Roman" w:hAnsi="Times New Roman"/>
          <w:b/>
          <w:color w:val="0284C7"/>
          <w:sz w:val="25"/>
        </w:rPr>
        <w:t>2. CÁC NỘI DUNG CHÍNH / ĐIỂM MỚI QUAN TRỌNG</w:t>
      </w:r>
    </w:p>
    <w:p>
      <w:r>
        <w:rPr>
          <w:rFonts w:ascii="Times New Roman" w:hAnsi="Times New Roman"/>
          <w:sz w:val="22"/>
        </w:rPr>
        <w:t>Dựa trên dữ liệu tìm kiếm mới nhất, các điểm đáng chú ý chủ yếu tập trung vào **Tổ chức Doanh nghiệp** và công tác quản lý thuế nói chung.</w:t>
      </w:r>
    </w:p>
    <w:p>
      <w:r>
        <w:rPr>
          <w:rFonts w:ascii="Times New Roman" w:hAnsi="Times New Roman"/>
          <w:b/>
          <w:sz w:val="23"/>
        </w:rPr>
        <w:t>2.1. Dành cho Tổ chức Doanh nghiệp</w:t>
      </w:r>
    </w:p>
    <w:p>
      <w:pPr>
        <w:ind w:left="360"/>
      </w:pPr>
      <w:r>
        <w:rPr>
          <w:rFonts w:ascii="Times New Roman" w:hAnsi="Times New Roman"/>
          <w:sz w:val="22"/>
        </w:rPr>
        <w:t>•   **Cảnh báo và công bố danh sách doanh nghiệp rủi ro cao về thuế, hóa đơn:**</w:t>
      </w:r>
    </w:p>
    <w:p>
      <w:pPr>
        <w:ind w:left="360"/>
      </w:pPr>
      <w:r>
        <w:rPr>
          <w:rFonts w:ascii="Times New Roman" w:hAnsi="Times New Roman"/>
          <w:sz w:val="22"/>
        </w:rPr>
        <w:t>•   Tổng cục Thuế đã công bố và cập nhật danh sách **6.070 doanh nghiệp rủi ro cao về thuế, hóa đơn**. Đây là một động thái mạnh mẽ nhằm cảnh báo và yêu cầu các doanh nghiệp này rà soát lại hoạt động, đồng thời là cơ sở để cơ quan thuế tăng cường giám sát, kiểm tra.</w:t>
      </w:r>
    </w:p>
    <w:p>
      <w:pPr>
        <w:ind w:left="360"/>
      </w:pPr>
      <w:r>
        <w:rPr>
          <w:rFonts w:ascii="Times New Roman" w:hAnsi="Times New Roman"/>
          <w:sz w:val="22"/>
        </w:rPr>
        <w:t>•   **Nguồn:** `https://www.meinvoice.vn/tin-tuc/19785/doanh-nghiep-rui-ro-ve-hoa-don/`</w:t>
      </w:r>
    </w:p>
    <w:p>
      <w:pPr>
        <w:ind w:left="360"/>
      </w:pPr>
      <w:r>
        <w:rPr>
          <w:rFonts w:ascii="Times New Roman" w:hAnsi="Times New Roman"/>
          <w:sz w:val="22"/>
        </w:rPr>
        <w:t>•   **Quy định mới về công khai thông tin người nộp thuế trên mạng:**</w:t>
      </w:r>
    </w:p>
    <w:p>
      <w:pPr>
        <w:ind w:left="360"/>
      </w:pPr>
      <w:r>
        <w:rPr>
          <w:rFonts w:ascii="Times New Roman" w:hAnsi="Times New Roman"/>
          <w:sz w:val="22"/>
        </w:rPr>
        <w:t>•   Từ ngày **01/7/2026**, **Nghị định 252/2026/NĐ-CP** sẽ bổ sung các trường hợp người nộp thuế bị công khai thông tin trên các phương tiện thông tin đại chúng. Đặc biệt, nếu doanh nghiệp không giải trình được các rủi ro liên quan đến hóa đơn điện tử, thông tin có thể bị công khai.</w:t>
      </w:r>
    </w:p>
    <w:p>
      <w:pPr>
        <w:ind w:left="360"/>
      </w:pPr>
      <w:r>
        <w:rPr>
          <w:rFonts w:ascii="Times New Roman" w:hAnsi="Times New Roman"/>
          <w:sz w:val="22"/>
        </w:rPr>
        <w:t>•   **Nguồn:** `https://luatquanghuy.vn/tu-van-luat/thue-phi/3-truong-hop-bi-cong-khai-thong-tin-thue-len-mang-canh-bao-moi-cho-doanh-nghiep/`</w:t>
      </w:r>
    </w:p>
    <w:p>
      <w:pPr>
        <w:ind w:left="360"/>
      </w:pPr>
      <w:r>
        <w:rPr>
          <w:rFonts w:ascii="Times New Roman" w:hAnsi="Times New Roman"/>
          <w:sz w:val="22"/>
        </w:rPr>
        <w:t>•   **Làm rõ về cảnh báo rủi ro trong hoàn thuế giá trị gia tăng (GTGT):**</w:t>
      </w:r>
    </w:p>
    <w:p>
      <w:pPr>
        <w:ind w:left="360"/>
      </w:pPr>
      <w:r>
        <w:rPr>
          <w:rFonts w:ascii="Times New Roman" w:hAnsi="Times New Roman"/>
          <w:sz w:val="22"/>
        </w:rPr>
        <w:t>•   Cục Thuế đã thông tin rõ rằng các cảnh báo rủi ro đối với người bán và các doanh nghiệp trong chuỗi cung ứng chỉ nhằm mục đích đánh giá, quản lý rủi ro. Những cảnh báo này **không phải là căn cứ để kết luận** giao dịch không có thật, hóa đơn không hợp pháp hoặc hồ sơ không đủ điều kiện hoàn thuế GTGT. Điều này giúp doanh nghiệp yên tâm hơn khi thực hiện các giao dịch và hồ sơ hoàn thuế, miễn là tuân thủ đúng quy định.</w:t>
      </w:r>
    </w:p>
    <w:p>
      <w:pPr>
        <w:ind w:left="360"/>
      </w:pPr>
      <w:r>
        <w:rPr>
          <w:rFonts w:ascii="Times New Roman" w:hAnsi="Times New Roman"/>
          <w:sz w:val="22"/>
        </w:rPr>
        <w:t>•   **Nguồn:** `https://thanhnien.vn/cuc-thue-canh-bao-rui-ro-khong-phai-ket-luan-vi-pham-trong-hoan-thue-185260923083657905.htm`</w:t>
      </w:r>
    </w:p>
    <w:p>
      <w:pPr>
        <w:ind w:left="360"/>
      </w:pPr>
      <w:r>
        <w:rPr>
          <w:rFonts w:ascii="Times New Roman" w:hAnsi="Times New Roman"/>
          <w:sz w:val="22"/>
        </w:rPr>
        <w:t>•   **Điểm mới về quản lý tuân thủ và quản lý rủi ro trong lĩnh vực thuế:**</w:t>
      </w:r>
    </w:p>
    <w:p>
      <w:pPr>
        <w:ind w:left="360"/>
      </w:pPr>
      <w:r>
        <w:rPr>
          <w:rFonts w:ascii="Times New Roman" w:hAnsi="Times New Roman"/>
          <w:sz w:val="22"/>
        </w:rPr>
        <w:t>•   **Thông tư số 94/2026/TT-BTC** (có hiệu lực từ ngày 16/7) đã mở rộng cách tiếp cận sang "quản lý tuân thủ, quản lý rủi ro trong quản lý thuế". Điều này phù hợp với Luật Quản lý thuế năm 2025 và thông lệ quốc tế, cho thấy cơ quan thuế sẽ tập trung hơn vào việc đánh giá mức độ tuân thủ của người nộp thuế và áp dụng các biện pháp quản lý dựa trên mức độ rủi ro.</w:t>
      </w:r>
    </w:p>
    <w:p>
      <w:pPr>
        <w:ind w:left="360"/>
      </w:pPr>
      <w:r>
        <w:rPr>
          <w:rFonts w:ascii="Times New Roman" w:hAnsi="Times New Roman"/>
          <w:sz w:val="22"/>
        </w:rPr>
        <w:t>•   **Nguồn:** `https://baovephapluat.vn/kinh-te/kinh-doanh-phap-luat/nhung-diem-moi-ve-quan-ly-tuan-thu-quan-ly-rui-ro-trong-linh-vuc-thue-202658.html`</w:t>
      </w:r>
    </w:p>
    <w:p>
      <w:r>
        <w:rPr>
          <w:rFonts w:ascii="Times New Roman" w:hAnsi="Times New Roman"/>
          <w:b/>
          <w:sz w:val="23"/>
        </w:rPr>
        <w:t>2.2. Dành cho Cá nhân và Hộ kinh doanh</w:t>
      </w:r>
    </w:p>
    <w:p>
      <w:pPr>
        <w:ind w:left="360"/>
      </w:pPr>
      <w:r>
        <w:rPr>
          <w:rFonts w:ascii="Times New Roman" w:hAnsi="Times New Roman"/>
          <w:sz w:val="22"/>
        </w:rPr>
        <w:t>•   Dữ liệu tìm kiếm mới nhất không cung cấp các tin tức hoặc chính sách thuế cụ thể dành riêng cho cá nhân hoặc hộ kinh doanh trong thời gian gần đây. Tuy nhiên, các nguyên tắc chung về quản lý tuân thủ và quản lý rủi ro của cơ quan thuế vẫn áp dụng cho mọi đối tượng nộp thuế.</w:t>
      </w:r>
    </w:p>
    <w:p>
      <w:r>
        <w:rPr>
          <w:rFonts w:ascii="Times New Roman" w:hAnsi="Times New Roman"/>
          <w:b/>
          <w:color w:val="0284C7"/>
          <w:sz w:val="25"/>
        </w:rPr>
        <w:t>3. ĐÁNH GIÁ TÁC ĐỘNG ĐỐI VỚI DOANH NGHIỆP &amp; NGƯỜI NỘP THUẾ</w:t>
      </w:r>
    </w:p>
    <w:p>
      <w:pPr>
        <w:ind w:left="360"/>
      </w:pPr>
      <w:r>
        <w:rPr>
          <w:rFonts w:ascii="Times New Roman" w:hAnsi="Times New Roman"/>
          <w:sz w:val="22"/>
        </w:rPr>
        <w:t>•   **Đối với Tổ chức Doanh nghiệp:**</w:t>
      </w:r>
    </w:p>
    <w:p>
      <w:pPr>
        <w:ind w:left="360"/>
      </w:pPr>
      <w:r>
        <w:rPr>
          <w:rFonts w:ascii="Times New Roman" w:hAnsi="Times New Roman"/>
          <w:sz w:val="22"/>
        </w:rPr>
        <w:t>•   **Tăng cường trách nhiệm tuân thủ:** Doanh nghiệp cần rà soát kỹ lưỡng hệ thống kế toán, hóa đơn điện tử và các giao dịch kinh doanh để đảm bảo tính hợp pháp, minh bạch.</w:t>
      </w:r>
    </w:p>
    <w:p>
      <w:pPr>
        <w:ind w:left="360"/>
      </w:pPr>
      <w:r>
        <w:rPr>
          <w:rFonts w:ascii="Times New Roman" w:hAnsi="Times New Roman"/>
          <w:sz w:val="22"/>
        </w:rPr>
        <w:t>•   **Rủi ro công khai thông tin:** Việc bị đưa vào danh sách rủi ro hoặc bị công khai thông tin trên mạng có thể ảnh hưởng nghiêm trọng đến uy tín và hoạt động kinh doanh của doanh nghiệp.</w:t>
      </w:r>
    </w:p>
    <w:p>
      <w:pPr>
        <w:ind w:left="360"/>
      </w:pPr>
      <w:r>
        <w:rPr>
          <w:rFonts w:ascii="Times New Roman" w:hAnsi="Times New Roman"/>
          <w:sz w:val="22"/>
        </w:rPr>
        <w:t>•   **Yêu cầu về giải trình:** Doanh nghiệp cần chuẩn bị sẵn sàng các hồ sơ, chứng từ để giải trình kịp thời khi có yêu cầu từ cơ quan thuế, đặc biệt là các vấn đề liên quan đến hóa đơn và hoàn thuế.</w:t>
      </w:r>
    </w:p>
    <w:p>
      <w:pPr>
        <w:ind w:left="360"/>
      </w:pPr>
      <w:r>
        <w:rPr>
          <w:rFonts w:ascii="Times New Roman" w:hAnsi="Times New Roman"/>
          <w:sz w:val="22"/>
        </w:rPr>
        <w:t>•   **Chủ động quản lý rủi ro:** Việc chuyển đổi sang mô hình quản lý tuân thủ và rủi ro đòi hỏi doanh nghiệp phải có chiến lược quản lý rủi ro thuế chủ động, thay vì chỉ phản ứng khi có vấn đề.</w:t>
      </w:r>
    </w:p>
    <w:p>
      <w:pPr>
        <w:ind w:left="360"/>
      </w:pPr>
      <w:r>
        <w:rPr>
          <w:rFonts w:ascii="Times New Roman" w:hAnsi="Times New Roman"/>
          <w:sz w:val="22"/>
        </w:rPr>
        <w:t>•   **Đối với Cá nhân và Hộ kinh doanh:**</w:t>
      </w:r>
    </w:p>
    <w:p>
      <w:pPr>
        <w:ind w:left="360"/>
      </w:pPr>
      <w:r>
        <w:rPr>
          <w:rFonts w:ascii="Times New Roman" w:hAnsi="Times New Roman"/>
          <w:sz w:val="22"/>
        </w:rPr>
        <w:t>•   Mặc dù chưa có chính sách cụ thể, nhưng xu hướng quản lý chặt chẽ hơn về tuân thủ và rủi ro có thể sẽ được mở rộng. Cá nhân và hộ kinh doanh cần tiếp tục duy trì việc kê khai, nộp thuế đầy đủ, đúng hạn và lưu giữ chứng từ cẩn thận.</w:t>
      </w:r>
    </w:p>
    <w:p>
      <w:r>
        <w:rPr>
          <w:rFonts w:ascii="Times New Roman" w:hAnsi="Times New Roman"/>
          <w:b/>
          <w:color w:val="0284C7"/>
          <w:sz w:val="25"/>
        </w:rPr>
        <w:t>4. KHUYẾN NGHỊ / GIẢI PHÁP HÀNH ĐỘNG HỮU ÍCH DÀNH CHO LÃNH ĐẠO</w:t>
      </w:r>
    </w:p>
    <w:p>
      <w:r>
        <w:rPr>
          <w:rFonts w:ascii="Times New Roman" w:hAnsi="Times New Roman"/>
          <w:sz w:val="22"/>
        </w:rPr>
        <w:t>Để đảm bảo hoạt động kinh doanh ổn định và tuân thủ pháp luật thuế, Thư ký Thạch Sanh xin đề xuất các hành động sau:</w:t>
      </w:r>
    </w:p>
    <w:p>
      <w:r>
        <w:rPr>
          <w:rFonts w:ascii="Times New Roman" w:hAnsi="Times New Roman"/>
          <w:sz w:val="22"/>
        </w:rPr>
        <w:t>1.  **Rà soát và Tăng cường Hệ thống Kiểm soát Nội bộ:**</w:t>
      </w:r>
    </w:p>
    <w:p>
      <w:pPr>
        <w:ind w:left="360"/>
      </w:pPr>
      <w:r>
        <w:rPr>
          <w:rFonts w:ascii="Times New Roman" w:hAnsi="Times New Roman"/>
          <w:sz w:val="22"/>
        </w:rPr>
        <w:t>•   Thường xuyên kiểm tra, đối chiếu dữ liệu hóa đơn điện tử, chứng từ kế toán để đảm bảo tính chính xác và hợp lệ.</w:t>
      </w:r>
    </w:p>
    <w:p>
      <w:pPr>
        <w:ind w:left="360"/>
      </w:pPr>
      <w:r>
        <w:rPr>
          <w:rFonts w:ascii="Times New Roman" w:hAnsi="Times New Roman"/>
          <w:sz w:val="22"/>
        </w:rPr>
        <w:t>•   Đặc biệt chú ý đến các giao dịch với các đối tác có tên trong danh sách rủi ro cao về thuế.</w:t>
      </w:r>
    </w:p>
    <w:p>
      <w:r>
        <w:rPr>
          <w:rFonts w:ascii="Times New Roman" w:hAnsi="Times New Roman"/>
          <w:sz w:val="22"/>
        </w:rPr>
        <w:t>2.  **Chủ động Giải trình và Minh bạch Thông tin:**</w:t>
      </w:r>
    </w:p>
    <w:p>
      <w:pPr>
        <w:ind w:left="360"/>
      </w:pPr>
      <w:r>
        <w:rPr>
          <w:rFonts w:ascii="Times New Roman" w:hAnsi="Times New Roman"/>
          <w:sz w:val="22"/>
        </w:rPr>
        <w:t>•   Khi nhận được cảnh báo rủi ro từ cơ quan thuế, cần nhanh chóng thu thập hồ sơ, chứng từ và thực hiện giải trình một cách đầy đủ, rõ ràng.</w:t>
      </w:r>
    </w:p>
    <w:p>
      <w:pPr>
        <w:ind w:left="360"/>
      </w:pPr>
      <w:r>
        <w:rPr>
          <w:rFonts w:ascii="Times New Roman" w:hAnsi="Times New Roman"/>
          <w:sz w:val="22"/>
        </w:rPr>
        <w:t>•   Đảm bảo các thông tin cung cấp là chính xác và có căn cứ pháp lý.</w:t>
      </w:r>
    </w:p>
    <w:p>
      <w:r>
        <w:rPr>
          <w:rFonts w:ascii="Times New Roman" w:hAnsi="Times New Roman"/>
          <w:sz w:val="22"/>
        </w:rPr>
        <w:t>3.  **Nâng cao Nhận thức về Quản lý Rủi ro Thuế:**</w:t>
      </w:r>
    </w:p>
    <w:p>
      <w:pPr>
        <w:ind w:left="360"/>
      </w:pPr>
      <w:r>
        <w:rPr>
          <w:rFonts w:ascii="Times New Roman" w:hAnsi="Times New Roman"/>
          <w:sz w:val="22"/>
        </w:rPr>
        <w:t>•   Tổ chức các buổi tập huấn nội bộ cho đội ngũ kế toán, tài chính về các quy định mới và cách thức quản lý rủi ro thuế hiệu quả.</w:t>
      </w:r>
    </w:p>
    <w:p>
      <w:pPr>
        <w:ind w:left="360"/>
      </w:pPr>
      <w:r>
        <w:rPr>
          <w:rFonts w:ascii="Times New Roman" w:hAnsi="Times New Roman"/>
          <w:sz w:val="22"/>
        </w:rPr>
        <w:t>•   Xây dựng quy trình nội bộ để phát hiện và xử lý sớm các dấu hiệu rủi ro về thuế.</w:t>
      </w:r>
    </w:p>
    <w:p>
      <w:r>
        <w:rPr>
          <w:rFonts w:ascii="Times New Roman" w:hAnsi="Times New Roman"/>
          <w:sz w:val="22"/>
        </w:rPr>
        <w:t>4.  **Cập nhật Thường xuyên Văn bản Pháp luật Thuế:**</w:t>
      </w:r>
    </w:p>
    <w:p>
      <w:pPr>
        <w:ind w:left="360"/>
      </w:pPr>
      <w:r>
        <w:rPr>
          <w:rFonts w:ascii="Times New Roman" w:hAnsi="Times New Roman"/>
          <w:sz w:val="22"/>
        </w:rPr>
        <w:t>•   Theo dõi sát sao các thông báo, nghị định, thông tư mới từ Bộ Tài chính, Tổng cục Thuế để kịp thời điều chỉnh hoạt động kinh doanh và nghĩa vụ thuế.</w:t>
      </w:r>
    </w:p>
    <w:p>
      <w:pPr>
        <w:ind w:left="360"/>
      </w:pPr>
      <w:r>
        <w:rPr>
          <w:rFonts w:ascii="Times New Roman" w:hAnsi="Times New Roman"/>
          <w:sz w:val="22"/>
        </w:rPr>
        <w:t>•   Cân nhắc sử dụng dịch vụ tư vấn thuế chuyên nghiệp để nhận được các phân tích và khuyến nghị chuyên sâu.</w:t>
      </w:r>
    </w:p>
    <w:p>
      <w:r>
        <w:rPr>
          <w:rFonts w:ascii="Times New Roman" w:hAnsi="Times New Roman"/>
          <w:b/>
          <w:color w:val="0284C7"/>
          <w:sz w:val="25"/>
        </w:rPr>
        <w:t>5. NGUỒN THAM KHẢO CHÍNH</w:t>
      </w:r>
    </w:p>
    <w:p>
      <w:pPr>
        <w:ind w:left="360"/>
      </w:pPr>
      <w:r>
        <w:rPr>
          <w:rFonts w:ascii="Times New Roman" w:hAnsi="Times New Roman"/>
          <w:sz w:val="22"/>
        </w:rPr>
        <w:t>•   `https://www.meinvoice.vn/tin-tuc/19785/doanh-nghiep-rui-ro-ve-hoa-don/`</w:t>
      </w:r>
    </w:p>
    <w:p>
      <w:pPr>
        <w:ind w:left="360"/>
      </w:pPr>
      <w:r>
        <w:rPr>
          <w:rFonts w:ascii="Times New Roman" w:hAnsi="Times New Roman"/>
          <w:sz w:val="22"/>
        </w:rPr>
        <w:t>•   `https://luatquanghuy.vn/tu-van-luat/thue-phi/3-truong-hop-bi-cong-khai-thong-tin-thue-len-mang-canh-bao-moi-cho-doanh-nghiep/`</w:t>
      </w:r>
    </w:p>
    <w:p>
      <w:pPr>
        <w:ind w:left="360"/>
      </w:pPr>
      <w:r>
        <w:rPr>
          <w:rFonts w:ascii="Times New Roman" w:hAnsi="Times New Roman"/>
          <w:sz w:val="22"/>
        </w:rPr>
        <w:t>•   `https://thanhnien.vn/cuc-thue-canh-bao-rui-ro-khong-phai-ket-luan-vi-pham-trong-hoan-thue-185260923083657905.htm`</w:t>
      </w:r>
    </w:p>
    <w:p>
      <w:pPr>
        <w:ind w:left="360"/>
      </w:pPr>
      <w:r>
        <w:rPr>
          <w:rFonts w:ascii="Times New Roman" w:hAnsi="Times New Roman"/>
          <w:sz w:val="22"/>
        </w:rPr>
        <w:t>•   `https://baovephapluat.vn/kinh-te/kinh-doanh-phap-luat/nhung-diem-moi-ve-quan-ly-tuan-thu-quan-ly-rui-ro-trong-linh-vuc-thue-202658.html`</w:t>
      </w:r>
    </w:p>
    <w:p>
      <w:r>
        <w:rPr>
          <w:rFonts w:ascii="Times New Roman" w:hAnsi="Times New Roman"/>
          <w:sz w:val="22"/>
        </w:rPr>
        <w:t>---</w:t>
      </w:r>
    </w:p>
    <w:p>
      <w:r>
        <w:rPr>
          <w:rFonts w:ascii="Times New Roman" w:hAnsi="Times New Roman"/>
          <w:sz w:val="22"/>
        </w:rPr>
        <w:t>Kính mong Quý Lãnh đạo xem xét và chỉ đạo thực hiện các biện pháp cần thiết để đảm bảo tuân thủ pháp luật thuế và phòng ngừa rủi ro hiệu quả.</w:t>
      </w:r>
    </w:p>
    <w:p>
      <w:r>
        <w:rPr>
          <w:rFonts w:ascii="Times New Roman" w:hAnsi="Times New Roman"/>
          <w:sz w:val="22"/>
        </w:rPr>
        <w:t>Trân trọng,</w:t>
      </w:r>
    </w:p>
    <w:p>
      <w:r>
        <w:rPr>
          <w:rFonts w:ascii="Times New Roman" w:hAnsi="Times New Roman"/>
          <w:sz w:val="22"/>
        </w:rPr>
        <w:t>**Thư ký Thạch Sanh**</w:t>
      </w:r>
    </w:p>
    <w:p>
      <w:r>
        <w:rPr>
          <w:rFonts w:ascii="Times New Roman" w:hAnsi="Times New Roman"/>
          <w:sz w:val="22"/>
        </w:rPr>
        <w:t>*Tổng hợp Tin tức &amp; Cảnh báo Rủi ro Pháp lý*</w:t>
      </w:r>
    </w:p>
    <w:p/>
    <w:p>
      <w:r>
        <w:rPr>
          <w:rFonts w:ascii="Times New Roman" w:hAnsi="Times New Roman"/>
          <w:b/>
          <w:color w:val="002855"/>
          <w:sz w:val="22"/>
        </w:rPr>
        <w:t>DANH MỤC NGUỒN THAM KHẢO INTERNET:</w:t>
      </w:r>
    </w:p>
    <w:p>
      <w:pPr>
        <w:ind w:left="360"/>
      </w:pPr>
      <w:r>
        <w:rPr>
          <w:rFonts w:ascii="Times New Roman" w:hAnsi="Times New Roman"/>
          <w:b/>
          <w:sz w:val="20"/>
        </w:rPr>
        <w:t xml:space="preserve">- [MỚI] Danh sách 6.070 doanh nghiệp rủi ro cao về thuế: </w:t>
      </w:r>
      <w:r>
        <w:rPr>
          <w:rFonts w:ascii="Times New Roman" w:hAnsi="Times New Roman"/>
          <w:i/>
          <w:color w:val="0284C7"/>
          <w:sz w:val="20"/>
        </w:rPr>
        <w:t>https://www.meinvoice.vn/tin-tuc/19785/doanh-nghiep-rui-ro-ve-hoa-don/</w:t>
      </w:r>
    </w:p>
    <w:p>
      <w:pPr>
        <w:ind w:left="360"/>
      </w:pPr>
      <w:r>
        <w:rPr>
          <w:rFonts w:ascii="Times New Roman" w:hAnsi="Times New Roman"/>
          <w:b/>
          <w:sz w:val="20"/>
        </w:rPr>
        <w:t xml:space="preserve">- 3 trường hợp bị công khai thông tin thuế lên mạng: Cảnh báo mới cho ...: </w:t>
      </w:r>
      <w:r>
        <w:rPr>
          <w:rFonts w:ascii="Times New Roman" w:hAnsi="Times New Roman"/>
          <w:i/>
          <w:color w:val="0284C7"/>
          <w:sz w:val="20"/>
        </w:rPr>
        <w:t>https://luatquanghuy.vn/tu-van-luat/thue-phi/3-truong-hop-bi-cong-khai-thong-tin-thue-len-mang-canh-bao-moi-cho-doanh-nghiep/</w:t>
      </w:r>
    </w:p>
    <w:p>
      <w:pPr>
        <w:ind w:left="360"/>
      </w:pPr>
      <w:r>
        <w:rPr>
          <w:rFonts w:ascii="Times New Roman" w:hAnsi="Times New Roman"/>
          <w:b/>
          <w:sz w:val="20"/>
        </w:rPr>
        <w:t xml:space="preserve">- Cục Thuế: Cảnh báo rủi ro không phải kết luận vi phạm trong hoàn thuế: </w:t>
      </w:r>
      <w:r>
        <w:rPr>
          <w:rFonts w:ascii="Times New Roman" w:hAnsi="Times New Roman"/>
          <w:i/>
          <w:color w:val="0284C7"/>
          <w:sz w:val="20"/>
        </w:rPr>
        <w:t>https://thanhnien.vn/cuc-thue-canh-bao-rui-ro-khong-phai-ket-luan-vi-pham-trong-hoan-thue-185260923083657905.htm</w:t>
      </w:r>
    </w:p>
    <w:p>
      <w:pPr>
        <w:ind w:left="360"/>
      </w:pPr>
      <w:r>
        <w:rPr>
          <w:rFonts w:ascii="Times New Roman" w:hAnsi="Times New Roman"/>
          <w:b/>
          <w:sz w:val="20"/>
        </w:rPr>
        <w:t xml:space="preserve">- Báo Pháp Luật Việt Nam | Tin tức pháp luật, an ninh, xã hội: </w:t>
      </w:r>
      <w:r>
        <w:rPr>
          <w:rFonts w:ascii="Times New Roman" w:hAnsi="Times New Roman"/>
          <w:i/>
          <w:color w:val="0284C7"/>
          <w:sz w:val="20"/>
        </w:rPr>
        <w:t>https://baophapluat.vn/</w:t>
      </w:r>
    </w:p>
    <w:p>
      <w:pPr>
        <w:ind w:left="360"/>
      </w:pPr>
      <w:r>
        <w:rPr>
          <w:rFonts w:ascii="Times New Roman" w:hAnsi="Times New Roman"/>
          <w:b/>
          <w:sz w:val="20"/>
        </w:rPr>
        <w:t xml:space="preserve">- Những điểm mới về quản lý tuân thủ, quản lý rủi ro trong lĩnh vực thuế: </w:t>
      </w:r>
      <w:r>
        <w:rPr>
          <w:rFonts w:ascii="Times New Roman" w:hAnsi="Times New Roman"/>
          <w:i/>
          <w:color w:val="0284C7"/>
          <w:sz w:val="20"/>
        </w:rPr>
        <w:t>https://baovephapluat.vn/kinh-te/kinh-doanh-phap-luat/nhung-diem-moi-ve-quan-ly-tuan-thu-quan-ly-rui-ro-trong-linh-vuc-thue-202658.html</w:t>
      </w:r>
    </w:p>
    <w:p>
      <w:pPr>
        <w:ind w:left="360"/>
      </w:pPr>
      <w:r>
        <w:rPr>
          <w:rFonts w:ascii="Times New Roman" w:hAnsi="Times New Roman"/>
          <w:b/>
          <w:sz w:val="20"/>
        </w:rPr>
        <w:t xml:space="preserve">- Bản tin Thuế và Pháp lý | EY - Vietnam: </w:t>
      </w:r>
      <w:r>
        <w:rPr>
          <w:rFonts w:ascii="Times New Roman" w:hAnsi="Times New Roman"/>
          <w:i/>
          <w:color w:val="0284C7"/>
          <w:sz w:val="20"/>
        </w:rPr>
        <w:t>https://www.ey.com/vi_vn/technical/tax/tax-and-law-updates</w:t>
      </w:r>
    </w:p>
    <w:sectPr w:rsidR="00FC693F" w:rsidRPr="0006063C" w:rsidSect="00034616">
      <w:pgSz w:w="12240" w:h="15840"/>
      <w:pgMar w:top="1152" w:right="1152"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