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2855"/>
          <w:sz w:val="32"/>
        </w:rPr>
        <w:t>BÁO CÁO TIN TỨC TỔNG HỢP &amp; PHÂN TÍCH CHUYÊN MÔN</w:t>
      </w:r>
    </w:p>
    <w:p>
      <w:pPr>
        <w:jc w:val="center"/>
      </w:pPr>
      <w:r>
        <w:rPr>
          <w:rFonts w:ascii="Times New Roman" w:hAnsi="Times New Roman"/>
          <w:i/>
          <w:color w:val="64748B"/>
          <w:sz w:val="22"/>
        </w:rPr>
        <w:t>Hệ thống Thư Ký AI Tin Tức — Trực thuộc Ban Điều hành HB MIND</w:t>
      </w:r>
    </w:p>
    <w:tbl>
      <w:tblPr>
        <w:tblW w:type="auto" w:w="0"/>
        <w:jc w:val="center"/>
        <w:tblLayout w:type="fixed"/>
        <w:tblLook w:firstColumn="1" w:firstRow="1" w:lastColumn="0" w:lastRow="0" w:noHBand="0" w:noVBand="1" w:val="04A0"/>
      </w:tblPr>
      <w:tblGrid>
        <w:gridCol w:w="4824"/>
        <w:gridCol w:w="4824"/>
      </w:tblGrid>
      <w:tr>
        <w:tc>
          <w:tcPr>
            <w:tcW w:type="dxa" w:w="2592"/>
          </w:tcPr>
          <w:p>
            <w:r>
              <w:rPr>
                <w:rFonts w:ascii="Times New Roman" w:hAnsi="Times New Roman"/>
                <w:b/>
                <w:sz w:val="21"/>
              </w:rPr>
              <w:t>Thư ký phụ trách:</w:t>
            </w:r>
          </w:p>
        </w:tc>
        <w:tc>
          <w:tcPr>
            <w:tcW w:type="dxa" w:w="6912"/>
          </w:tcPr>
          <w:p>
            <w:r>
              <w:rPr>
                <w:rFonts w:ascii="Times New Roman" w:hAnsi="Times New Roman"/>
                <w:sz w:val="21"/>
              </w:rPr>
              <w:t>Thư ký Thạch Sanh (Hình tượng cổ tích: Thạch Sanh)</w:t>
            </w:r>
          </w:p>
        </w:tc>
      </w:tr>
      <w:tr>
        <w:tc>
          <w:tcPr>
            <w:tcW w:type="dxa" w:w="2592"/>
          </w:tcPr>
          <w:p>
            <w:r>
              <w:rPr>
                <w:rFonts w:ascii="Times New Roman" w:hAnsi="Times New Roman"/>
                <w:b/>
                <w:sz w:val="21"/>
              </w:rPr>
              <w:t>Vai trò chức năng:</w:t>
            </w:r>
          </w:p>
        </w:tc>
        <w:tc>
          <w:tcPr>
            <w:tcW w:type="dxa" w:w="6912"/>
          </w:tcPr>
          <w:p>
            <w:r>
              <w:rPr>
                <w:rFonts w:ascii="Times New Roman" w:hAnsi="Times New Roman"/>
                <w:sz w:val="21"/>
              </w:rPr>
              <w:t>Thư ký Tổng hợp Tin tức &amp; Cảnh báo Rủi ro Pháp lý</w:t>
            </w:r>
          </w:p>
        </w:tc>
      </w:tr>
      <w:tr>
        <w:tc>
          <w:tcPr>
            <w:tcW w:type="dxa" w:w="2592"/>
          </w:tcPr>
          <w:p>
            <w:r>
              <w:rPr>
                <w:rFonts w:ascii="Times New Roman" w:hAnsi="Times New Roman"/>
                <w:b/>
                <w:sz w:val="21"/>
              </w:rPr>
              <w:t>Nội dung huấn luyện:</w:t>
            </w:r>
          </w:p>
        </w:tc>
        <w:tc>
          <w:tcPr>
            <w:tcW w:type="dxa" w:w="6912"/>
          </w:tcPr>
          <w:p>
            <w:r>
              <w:rPr>
                <w:rFonts w:ascii="Times New Roman" w:hAnsi="Times New Roman"/>
                <w:sz w:val="21"/>
              </w:rPr>
              <w:t>Tổng hợp tin tức và chính sách thuế mới nhất từ internet và mạng xã hội, phân loại thành 3 nhóm (cá nhân, hộ kinh doanh, tổ chức doanh nghiệp).</w:t>
              <w:br/>
              <w:t>- Người dùng yêu cầu cập nhật, tóm tắt tin tức hoặc chính sách thuế mới nhất trong ngày hoặc thời gian gần đây.</w:t>
              <w:br/>
              <w:t>- Người dùng yêu cầu phân chia thông tin thuế thành 3 nhóm: cá nhân, hộ kinh doanh, tổ chức doanh nghiệp.</w:t>
              <w:br/>
              <w:t>## Steps</w:t>
              <w:br/>
              <w:t>### 1. Tìm kiếm tin tức thuế mới nhất</w:t>
              <w:br/>
              <w:t>- Sử dụng công cụ tìm kiếm trên web để tra cứu các chính sách thuế, văn bản quy phạm pháp luật, nghị định, thông tư và thông tin điều hành mới nhất về thuế.</w:t>
              <w:br/>
              <w:t>- Từ khóa tìm kiếm nên bao gồm: chính sách thuế mới nhất, thuế TNCN, thuế GTGT, thuế TNDN, quản lý thuế hộ kinh doanh, tin thuế Tổng cục Thuế.</w:t>
              <w:br/>
              <w:br/>
              <w:t>### 2. Phân loại thông tin thành 3 phần</w:t>
              <w:br/>
              <w:t>- Phần 1: Dành cho cá nhân (thuế thu nhập cá nhân, giảm trừ gia cảnh, mã số thuế tích hợp CCCD, thuế thu nhập từ mạng xã hội/online, quyết toán thuế).</w:t>
              <w:br/>
              <w:t>- Phần 2: Dành cho hộ kinh doanh (chính sách thuế theo Nghị định 68, bỏ thuế khoán chuyển sang kê khai, ngưỡng doanh thu chịu thuế, thông báo tài khoản ngân hàng/ví điện tử, khấu trừ thuế trên sàn TMĐT).</w:t>
              <w:br/>
              <w:t>- Phần 3: Dành cho tổ chức doanh nghiệp (thuế TNDN, chính sách giảm thuế, gia hạn nộp thuế, hoàn thuế GTGT tự động, thuế xăng dầu, kiểm soát nghĩa vụ thuế doanh nghiệp FDI).</w:t>
              <w:br/>
              <w:br/>
              <w:t>### 5. Ghi nội dung vào tài liệu</w:t>
              <w:br/>
              <w:t>- Trình bày rõ ràng, chuyên nghiệp với các tiêu đề mục, gạch đầu dòng và trích dẫn nguồn tham khảo chính thống.</w:t>
              <w:br/>
              <w:br/>
              <w:t>### 6. Thông báo kết quả cho người dùng</w:t>
              <w:br/>
              <w:t>- Tóm tắt ngắn gọn các ý chính trong phản hồi.</w:t>
              <w:br/>
              <w:br/>
              <w:t>## Gotchas</w:t>
              <w:br/>
              <w:t>- Trích dẫn nguồn tin cậy từ các cổng thông tin chính thống như Báo Chính phủ, Bộ Tài chính, Tổng cục Thuế.</w:t>
            </w:r>
          </w:p>
        </w:tc>
      </w:tr>
      <w:tr>
        <w:tc>
          <w:tcPr>
            <w:tcW w:type="dxa" w:w="2592"/>
          </w:tcPr>
          <w:p>
            <w:r>
              <w:rPr>
                <w:rFonts w:ascii="Times New Roman" w:hAnsi="Times New Roman"/>
                <w:b/>
                <w:sz w:val="21"/>
              </w:rPr>
              <w:t>Thời gian thực hiện:</w:t>
            </w:r>
          </w:p>
        </w:tc>
        <w:tc>
          <w:tcPr>
            <w:tcW w:type="dxa" w:w="6912"/>
          </w:tcPr>
          <w:p>
            <w:r>
              <w:rPr>
                <w:rFonts w:ascii="Times New Roman" w:hAnsi="Times New Roman"/>
                <w:sz w:val="21"/>
              </w:rPr>
              <w:t>25/10/2026 18:02:04</w:t>
            </w:r>
          </w:p>
        </w:tc>
      </w:tr>
      <w:tr>
        <w:tc>
          <w:tcPr>
            <w:tcW w:type="dxa" w:w="2592"/>
          </w:tcPr>
          <w:p>
            <w:r>
              <w:rPr>
                <w:rFonts w:ascii="Times New Roman" w:hAnsi="Times New Roman"/>
                <w:b/>
                <w:sz w:val="21"/>
              </w:rPr>
              <w:t>Phương thức tra cứu:</w:t>
            </w:r>
          </w:p>
        </w:tc>
        <w:tc>
          <w:tcPr>
            <w:tcW w:type="dxa" w:w="6912"/>
          </w:tcPr>
          <w:p>
            <w:r>
              <w:rPr>
                <w:rFonts w:ascii="Times New Roman" w:hAnsi="Times New Roman"/>
                <w:sz w:val="21"/>
              </w:rPr>
              <w:t>Gemini AI Search Grounding &amp; Realtime Web Crawler</w:t>
            </w:r>
          </w:p>
        </w:tc>
      </w:tr>
    </w:tbl>
    <w:p/>
    <w:p>
      <w:r>
        <w:rPr>
          <w:rFonts w:ascii="Times New Roman" w:hAnsi="Times New Roman"/>
          <w:sz w:val="22"/>
        </w:rPr>
        <w:t>Kính gửi Lãnh đạo,</w:t>
      </w:r>
    </w:p>
    <w:p>
      <w:r>
        <w:rPr>
          <w:rFonts w:ascii="Times New Roman" w:hAnsi="Times New Roman"/>
          <w:sz w:val="22"/>
        </w:rPr>
        <w:t>Thư ký Thạch Sanh xin trân trọng báo cáo tổng hợp tin tức và cảnh báo rủi ro pháp lý về thuế mới nhất, cập nhật đến ngày 25/10/2026.</w:t>
      </w:r>
    </w:p>
    <w:p>
      <w:r>
        <w:rPr>
          <w:rFonts w:ascii="Times New Roman" w:hAnsi="Times New Roman"/>
          <w:sz w:val="22"/>
        </w:rPr>
        <w:t>---</w:t>
      </w:r>
    </w:p>
    <w:p>
      <w:r>
        <w:rPr>
          <w:rFonts w:ascii="Times New Roman" w:hAnsi="Times New Roman"/>
          <w:b/>
          <w:color w:val="002855"/>
          <w:sz w:val="28"/>
        </w:rPr>
        <w:t>BÁO CÁO TỔNG HỢP TIN TỨC &amp; CẢNH BÁO RỦI RO PHÁP LÝ VỀ THUẾ MỚI NHẤT</w:t>
      </w:r>
    </w:p>
    <w:p>
      <w:r>
        <w:rPr>
          <w:rFonts w:ascii="Times New Roman" w:hAnsi="Times New Roman"/>
          <w:sz w:val="22"/>
        </w:rPr>
        <w:t>**(CẬP NHẬT ĐẾN 25/10/2026)**</w:t>
      </w:r>
    </w:p>
    <w:p>
      <w:r>
        <w:rPr>
          <w:rFonts w:ascii="Times New Roman" w:hAnsi="Times New Roman"/>
          <w:b/>
          <w:color w:val="0284C7"/>
          <w:sz w:val="25"/>
        </w:rPr>
        <w:t>1. TỔNG QUAN TÌNH HÌNH &amp; BỐI CẢNH MỚI NHẤT</w:t>
      </w:r>
    </w:p>
    <w:p>
      <w:r>
        <w:rPr>
          <w:rFonts w:ascii="Times New Roman" w:hAnsi="Times New Roman"/>
          <w:sz w:val="22"/>
        </w:rPr>
        <w:t>Trong bối cảnh tăng cường quản lý thuế và minh bạch hóa thông tin, các cơ quan chức năng đang đẩy mạnh việc rà soát, cảnh báo rủi ro, đặc biệt liên quan đến hóa đơn điện tử và hoàn thuế giá trị gia tăng (GTGT). Các quy định mới cũng đang được ban hành nhằm siết chặt kỷ cương, công khai thông tin người nộp thuế (NNT) có dấu hiệu vi phạm hoặc không tuân thủ. Điều này đòi hỏi các tổ chức doanh nghiệp phải hết sức chủ động trong việc nắm bắt và tuân thủ các quy định để tránh những rủi ro pháp lý không đáng có.</w:t>
      </w:r>
    </w:p>
    <w:p>
      <w:r>
        <w:rPr>
          <w:rFonts w:ascii="Times New Roman" w:hAnsi="Times New Roman"/>
          <w:b/>
          <w:color w:val="0284C7"/>
          <w:sz w:val="25"/>
        </w:rPr>
        <w:t>2. CÁC NỘI DUNG CHÍNH / ĐIỂM MỚI QUAN TRỌNG</w:t>
      </w:r>
    </w:p>
    <w:p>
      <w:r>
        <w:rPr>
          <w:rFonts w:ascii="Times New Roman" w:hAnsi="Times New Roman"/>
          <w:sz w:val="22"/>
        </w:rPr>
        <w:t>Dựa trên dữ liệu tìm kiếm mới nhất, các thông tin trọng tâm chủ yếu liên quan đến **Tổ chức doanh nghiệp** và công tác quản lý rủi ro thuế.</w:t>
      </w:r>
    </w:p>
    <w:p>
      <w:r>
        <w:rPr>
          <w:rFonts w:ascii="Times New Roman" w:hAnsi="Times New Roman"/>
          <w:b/>
          <w:sz w:val="23"/>
        </w:rPr>
        <w:t>2.1. Dành cho Cá nhân</w:t>
      </w:r>
    </w:p>
    <w:p>
      <w:pPr>
        <w:ind w:left="360"/>
      </w:pPr>
      <w:r>
        <w:rPr>
          <w:rFonts w:ascii="Times New Roman" w:hAnsi="Times New Roman"/>
          <w:sz w:val="22"/>
        </w:rPr>
        <w:t>•   **Hiện tại, dữ liệu tìm kiếm chưa ghi nhận các chính sách thuế mới cụ thể dành riêng cho cá nhân trong thời gian gần đây.** Các quy định hiện hành về thuế thu nhập cá nhân (TNCN), giảm trừ gia cảnh, quyết toán thuế vẫn đang được áp dụng ổn định.</w:t>
      </w:r>
    </w:p>
    <w:p>
      <w:r>
        <w:rPr>
          <w:rFonts w:ascii="Times New Roman" w:hAnsi="Times New Roman"/>
          <w:b/>
          <w:sz w:val="23"/>
        </w:rPr>
        <w:t>2.2. Dành cho Hộ kinh doanh</w:t>
      </w:r>
    </w:p>
    <w:p>
      <w:pPr>
        <w:ind w:left="360"/>
      </w:pPr>
      <w:r>
        <w:rPr>
          <w:rFonts w:ascii="Times New Roman" w:hAnsi="Times New Roman"/>
          <w:sz w:val="22"/>
        </w:rPr>
        <w:t>•   **Tương tự như cá nhân, dữ liệu tìm kiếm chưa ghi nhận các chính sách thuế mới cụ thể dành riêng cho hộ kinh doanh trong thời gian gần đây.** Các quy định về thuế khoán, kê khai, ngưỡng doanh thu chịu thuế, thông báo tài khoản ngân hàng/ví điện tử và khấu trừ thuế trên sàn thương mại điện tử (TMĐT) vẫn được thực hiện theo các văn bản hiện hành.</w:t>
      </w:r>
    </w:p>
    <w:p>
      <w:r>
        <w:rPr>
          <w:rFonts w:ascii="Times New Roman" w:hAnsi="Times New Roman"/>
          <w:b/>
          <w:sz w:val="23"/>
        </w:rPr>
        <w:t>2.3. Dành cho Tổ chức doanh nghiệp</w:t>
      </w:r>
    </w:p>
    <w:p>
      <w:r>
        <w:rPr>
          <w:rFonts w:ascii="Times New Roman" w:hAnsi="Times New Roman"/>
          <w:sz w:val="22"/>
        </w:rPr>
        <w:t>Các điểm mới và cảnh báo quan trọng nhất tập trung vào nhóm đối tượng này:</w:t>
      </w:r>
    </w:p>
    <w:p>
      <w:pPr>
        <w:ind w:left="360"/>
      </w:pPr>
      <w:r>
        <w:rPr>
          <w:rFonts w:ascii="Times New Roman" w:hAnsi="Times New Roman"/>
          <w:sz w:val="22"/>
        </w:rPr>
        <w:t>•   **Cảnh báo danh sách doanh nghiệp rủi ro cao về thuế, hóa đơn:**</w:t>
      </w:r>
    </w:p>
    <w:p>
      <w:pPr>
        <w:ind w:left="360"/>
      </w:pPr>
      <w:r>
        <w:rPr>
          <w:rFonts w:ascii="Times New Roman" w:hAnsi="Times New Roman"/>
          <w:sz w:val="22"/>
        </w:rPr>
        <w:t>•   **Nội dung:** Tổng cục Thuế (TCT) đã công bố và cập nhật danh sách **6.070 doanh nghiệp rủi ro cao** về thuế và hóa đơn. Đây là một công cụ cảnh báo quan trọng giúp các doanh nghiệp và đối tác thận trọng trong giao dịch.</w:t>
      </w:r>
    </w:p>
    <w:p>
      <w:pPr>
        <w:ind w:left="360"/>
      </w:pPr>
      <w:r>
        <w:rPr>
          <w:rFonts w:ascii="Times New Roman" w:hAnsi="Times New Roman"/>
          <w:sz w:val="22"/>
        </w:rPr>
        <w:t>•   **Nguồn:** `meinvoice.vn`</w:t>
      </w:r>
    </w:p>
    <w:p>
      <w:pPr>
        <w:ind w:left="360"/>
      </w:pPr>
      <w:r>
        <w:rPr>
          <w:rFonts w:ascii="Times New Roman" w:hAnsi="Times New Roman"/>
          <w:sz w:val="22"/>
        </w:rPr>
        <w:t>•   **Làm rõ về cảnh báo rủi ro trong hoàn thuế GTGT:**</w:t>
      </w:r>
    </w:p>
    <w:p>
      <w:pPr>
        <w:ind w:left="360"/>
      </w:pPr>
      <w:r>
        <w:rPr>
          <w:rFonts w:ascii="Times New Roman" w:hAnsi="Times New Roman"/>
          <w:sz w:val="22"/>
        </w:rPr>
        <w:t>•   **Nội dung:** Cục Thuế khẳng định thông tin cảnh báo rủi ro của người bán và các doanh nghiệp trong chuỗi cung ứng **chỉ phục vụ đánh giá, quản lý rủi ro**, không phải căn cứ để kết luận giao dịch không có thật, hóa đơn không hợp pháp hoặc hồ sơ không đủ điều kiện hoàn thuế GTGT. Điều này giúp doanh nghiệp hiểu rõ hơn về tính chất của các cảnh báo.</w:t>
      </w:r>
    </w:p>
    <w:p>
      <w:pPr>
        <w:ind w:left="360"/>
      </w:pPr>
      <w:r>
        <w:rPr>
          <w:rFonts w:ascii="Times New Roman" w:hAnsi="Times New Roman"/>
          <w:sz w:val="22"/>
        </w:rPr>
        <w:t>•   **Nguồn:** `thanhnien.vn`</w:t>
      </w:r>
    </w:p>
    <w:p>
      <w:pPr>
        <w:ind w:left="360"/>
      </w:pPr>
      <w:r>
        <w:rPr>
          <w:rFonts w:ascii="Times New Roman" w:hAnsi="Times New Roman"/>
          <w:sz w:val="22"/>
        </w:rPr>
        <w:t>•   **Quy định mới về công khai thông tin người nộp thuế (NNT) có rủi ro:**</w:t>
      </w:r>
    </w:p>
    <w:p>
      <w:pPr>
        <w:ind w:left="360"/>
      </w:pPr>
      <w:r>
        <w:rPr>
          <w:rFonts w:ascii="Times New Roman" w:hAnsi="Times New Roman"/>
          <w:sz w:val="22"/>
        </w:rPr>
        <w:t>•   **Văn bản:** Nghị định 252/2026/NĐ-CP (có hiệu lực từ 01/7/2026).</w:t>
      </w:r>
    </w:p>
    <w:p>
      <w:pPr>
        <w:ind w:left="360"/>
      </w:pPr>
      <w:r>
        <w:rPr>
          <w:rFonts w:ascii="Times New Roman" w:hAnsi="Times New Roman"/>
          <w:sz w:val="22"/>
        </w:rPr>
        <w:t>•   **Nội dung:** Bổ sung trường hợp NNT bị công khai thông tin trên mạng nếu không giải trình được các rủi ro về hóa đơn điện tử theo yêu cầu của cơ quan thuế. Đây là một cảnh báo mạnh mẽ về sự minh bạch và trách nhiệm giải trình.</w:t>
      </w:r>
    </w:p>
    <w:p>
      <w:pPr>
        <w:ind w:left="360"/>
      </w:pPr>
      <w:r>
        <w:rPr>
          <w:rFonts w:ascii="Times New Roman" w:hAnsi="Times New Roman"/>
          <w:sz w:val="22"/>
        </w:rPr>
        <w:t>•   **Nguồn:** `luatquanghuy.vn`</w:t>
      </w:r>
    </w:p>
    <w:p>
      <w:pPr>
        <w:ind w:left="360"/>
      </w:pPr>
      <w:r>
        <w:rPr>
          <w:rFonts w:ascii="Times New Roman" w:hAnsi="Times New Roman"/>
          <w:sz w:val="22"/>
        </w:rPr>
        <w:t>•   **Tăng cường công tác quản lý thuế, đặc biệt với doanh nghiệp lớn và TMĐT:**</w:t>
      </w:r>
    </w:p>
    <w:p>
      <w:pPr>
        <w:ind w:left="360"/>
      </w:pPr>
      <w:r>
        <w:rPr>
          <w:rFonts w:ascii="Times New Roman" w:hAnsi="Times New Roman"/>
          <w:sz w:val="22"/>
        </w:rPr>
        <w:t>•   **Văn bản:**</w:t>
      </w:r>
    </w:p>
    <w:p>
      <w:pPr>
        <w:ind w:left="360"/>
      </w:pPr>
      <w:r>
        <w:rPr>
          <w:rFonts w:ascii="Times New Roman" w:hAnsi="Times New Roman"/>
          <w:sz w:val="22"/>
        </w:rPr>
        <w:t>•   Chỉ thị số 36/CT-TTg ngày 12/10/2026 của Thủ tướng Chính phủ về tăng cường công tác thi hành thuế.</w:t>
      </w:r>
    </w:p>
    <w:p>
      <w:pPr>
        <w:ind w:left="360"/>
      </w:pPr>
      <w:r>
        <w:rPr>
          <w:rFonts w:ascii="Times New Roman" w:hAnsi="Times New Roman"/>
          <w:sz w:val="22"/>
        </w:rPr>
        <w:t>•   Công văn số 7902/CT-PC ngày 21/10/2026 của Cục Thuế (triển khai Chỉ thị 36/CT-TTg).</w:t>
      </w:r>
    </w:p>
    <w:p>
      <w:pPr>
        <w:ind w:left="360"/>
      </w:pPr>
      <w:r>
        <w:rPr>
          <w:rFonts w:ascii="Times New Roman" w:hAnsi="Times New Roman"/>
          <w:sz w:val="22"/>
        </w:rPr>
        <w:t>•   **Nội dung:** Cục Thuế đã chỉ đạo các đơn vị trực thuộc tăng cường công tác thi hành thuế, đặc biệt chú trọng đến các doanh nghiệp lớn và các hoạt động kinh doanh thương mại điện tử. Điều này báo hiệu sự kiểm soát chặt chẽ hơn trong thời gian tới.</w:t>
      </w:r>
    </w:p>
    <w:p>
      <w:pPr>
        <w:ind w:left="360"/>
      </w:pPr>
      <w:r>
        <w:rPr>
          <w:rFonts w:ascii="Times New Roman" w:hAnsi="Times New Roman"/>
          <w:sz w:val="22"/>
        </w:rPr>
        <w:t>•   **Nguồn:** `gdt.gov.vn`</w:t>
      </w:r>
    </w:p>
    <w:p>
      <w:r>
        <w:rPr>
          <w:rFonts w:ascii="Times New Roman" w:hAnsi="Times New Roman"/>
          <w:b/>
          <w:color w:val="0284C7"/>
          <w:sz w:val="25"/>
        </w:rPr>
        <w:t>3. ĐÁNH GIÁ TÁC ĐỘNG ĐỐI VỚI DOANH NGHIỆP &amp; NGƯỜI NỘP THUẾ</w:t>
      </w:r>
    </w:p>
    <w:p>
      <w:r>
        <w:rPr>
          <w:rFonts w:ascii="Times New Roman" w:hAnsi="Times New Roman"/>
          <w:sz w:val="22"/>
        </w:rPr>
        <w:t>Các chính sách và cảnh báo trên cho thấy xu hướng tăng cường giám sát và minh bạch hóa trong quản lý thuế.</w:t>
      </w:r>
    </w:p>
    <w:p>
      <w:pPr>
        <w:ind w:left="360"/>
      </w:pPr>
      <w:r>
        <w:rPr>
          <w:rFonts w:ascii="Times New Roman" w:hAnsi="Times New Roman"/>
          <w:sz w:val="22"/>
        </w:rPr>
        <w:t>•   **Đối với Doanh nghiệp:**</w:t>
      </w:r>
    </w:p>
    <w:p>
      <w:pPr>
        <w:ind w:left="360"/>
      </w:pPr>
      <w:r>
        <w:rPr>
          <w:rFonts w:ascii="Times New Roman" w:hAnsi="Times New Roman"/>
          <w:sz w:val="22"/>
        </w:rPr>
        <w:t>•   **Tăng cường trách nhiệm giải trình:** Doanh nghiệp phải chủ động rà soát, kiểm tra tính hợp pháp của hóa đơn và các giao dịch, sẵn sàng giải trình khi có yêu cầu từ cơ quan thuế.</w:t>
      </w:r>
    </w:p>
    <w:p>
      <w:pPr>
        <w:ind w:left="360"/>
      </w:pPr>
      <w:r>
        <w:rPr>
          <w:rFonts w:ascii="Times New Roman" w:hAnsi="Times New Roman"/>
          <w:sz w:val="22"/>
        </w:rPr>
        <w:t>•   **Rủi ro về uy tín và pháp lý:** Việc bị đưa vào danh sách rủi ro hoặc bị công khai thông tin có thể ảnh hưởng nghiêm trọng đến uy tín, quan hệ đối tác và tiềm ẩn các rủi ro pháp lý, bị thanh tra, kiểm tra.</w:t>
      </w:r>
    </w:p>
    <w:p>
      <w:pPr>
        <w:ind w:left="360"/>
      </w:pPr>
      <w:r>
        <w:rPr>
          <w:rFonts w:ascii="Times New Roman" w:hAnsi="Times New Roman"/>
          <w:sz w:val="22"/>
        </w:rPr>
        <w:t>•   **Thận trọng trong giao dịch:** Cần kiểm tra kỹ đối tác, đặc biệt là các doanh nghiệp trong danh sách rủi ro cao, để tránh liên đới trách nhiệm.</w:t>
      </w:r>
    </w:p>
    <w:p>
      <w:pPr>
        <w:ind w:left="360"/>
      </w:pPr>
      <w:r>
        <w:rPr>
          <w:rFonts w:ascii="Times New Roman" w:hAnsi="Times New Roman"/>
          <w:sz w:val="22"/>
        </w:rPr>
        <w:t>•   **Yêu cầu tuân thủ cao hơn:** Các doanh nghiệp lớn và hoạt động TMĐT sẽ chịu sự giám sát chặt chẽ hơn.</w:t>
      </w:r>
    </w:p>
    <w:p>
      <w:r>
        <w:rPr>
          <w:rFonts w:ascii="Times New Roman" w:hAnsi="Times New Roman"/>
          <w:b/>
          <w:color w:val="0284C7"/>
          <w:sz w:val="25"/>
        </w:rPr>
        <w:t>4. KHUYẾN NGHỊ / GIẢI PHÁP HÀNH ĐỘNG HỮU ÍCH DÀNH CHO LÃNH ĐẠO</w:t>
      </w:r>
    </w:p>
    <w:p>
      <w:r>
        <w:rPr>
          <w:rFonts w:ascii="Times New Roman" w:hAnsi="Times New Roman"/>
          <w:sz w:val="22"/>
        </w:rPr>
        <w:t>Để đảm bảo tuân thủ pháp luật và giảm thiểu rủi ro, Thư ký Thạch Sanh xin đưa ra các khuyến nghị sau:</w:t>
      </w:r>
    </w:p>
    <w:p>
      <w:r>
        <w:rPr>
          <w:rFonts w:ascii="Times New Roman" w:hAnsi="Times New Roman"/>
          <w:sz w:val="22"/>
        </w:rPr>
        <w:t>1.  **Chủ động rà soát hệ thống kế toán và hóa đơn:** Thường xuyên kiểm tra tính hợp lệ, hợp pháp của các hóa đơn đầu vào, đầu ra và các chứng từ kế toán liên quan. Đảm bảo hệ thống hóa đơn điện tử hoạt động đúng quy định.</w:t>
      </w:r>
    </w:p>
    <w:p>
      <w:r>
        <w:rPr>
          <w:rFonts w:ascii="Times New Roman" w:hAnsi="Times New Roman"/>
          <w:sz w:val="22"/>
        </w:rPr>
        <w:t>2.  **Nắm vững quy định về hoàn thuế GTGT:** Hiểu rõ các điều kiện và quy trình hoàn thuế, chuẩn bị đầy đủ hồ sơ và sẵn sàng giải trình khi có yêu cầu, tránh hiểu lầm về các cảnh báo rủi ro.</w:t>
      </w:r>
    </w:p>
    <w:p>
      <w:r>
        <w:rPr>
          <w:rFonts w:ascii="Times New Roman" w:hAnsi="Times New Roman"/>
          <w:sz w:val="22"/>
        </w:rPr>
        <w:t>3.  **Theo dõi sát sao các danh sách cảnh báo:** Định kỳ tra cứu danh sách doanh nghiệp rủi ro do TCT công bố để đánh giá đối tác và tránh các giao dịch có nguy cơ cao.</w:t>
      </w:r>
    </w:p>
    <w:p>
      <w:r>
        <w:rPr>
          <w:rFonts w:ascii="Times New Roman" w:hAnsi="Times New Roman"/>
          <w:sz w:val="22"/>
        </w:rPr>
        <w:t>4.  **Tăng cường đào tạo và cập nhật kiến thức:** Đảm bảo đội ngũ kế toán, tài chính nắm vững các quy định thuế mới, đặc biệt là Nghị định 252/2026/NĐ-CP về công khai thông tin NNT và các chỉ đạo về tăng cường quản lý thuế.</w:t>
      </w:r>
    </w:p>
    <w:p>
      <w:r>
        <w:rPr>
          <w:rFonts w:ascii="Times New Roman" w:hAnsi="Times New Roman"/>
          <w:sz w:val="22"/>
        </w:rPr>
        <w:t>5.  **Chuẩn bị phương án giải trình:** Xây dựng quy trình và chuẩn bị sẵn sàng các tài liệu, bằng chứng để giải trình kịp thời khi cơ quan thuế yêu cầu về các rủi ro hóa đơn điện tử.</w:t>
      </w:r>
    </w:p>
    <w:p>
      <w:r>
        <w:rPr>
          <w:rFonts w:ascii="Times New Roman" w:hAnsi="Times New Roman"/>
          <w:sz w:val="22"/>
        </w:rPr>
        <w:t>6.  **Tham vấn chuyên gia:** Khi có các vấn đề phức tạp hoặc nghi ngờ về rủi ro, nên tìm kiếm sự tư vấn từ các chuyên gia thuế, luật sư để có hướng xử lý chính xác và hiệu quả.</w:t>
      </w:r>
    </w:p>
    <w:p>
      <w:r>
        <w:rPr>
          <w:rFonts w:ascii="Times New Roman" w:hAnsi="Times New Roman"/>
          <w:b/>
          <w:color w:val="0284C7"/>
          <w:sz w:val="25"/>
        </w:rPr>
        <w:t>5. NGUỒN THAM KHẢO CHÍNH</w:t>
      </w:r>
    </w:p>
    <w:p>
      <w:pPr>
        <w:ind w:left="360"/>
      </w:pPr>
      <w:r>
        <w:rPr>
          <w:rFonts w:ascii="Times New Roman" w:hAnsi="Times New Roman"/>
          <w:sz w:val="22"/>
        </w:rPr>
        <w:t>•   `https://www.meinvoice.vn/tin-tuc/19785/doanh-nghiep-rui-ro-ve-hoa-don/`</w:t>
      </w:r>
    </w:p>
    <w:p>
      <w:pPr>
        <w:ind w:left="360"/>
      </w:pPr>
      <w:r>
        <w:rPr>
          <w:rFonts w:ascii="Times New Roman" w:hAnsi="Times New Roman"/>
          <w:sz w:val="22"/>
        </w:rPr>
        <w:t>•   `https://thanhnien.vn/cuc-thue-canh-bao-rui-ro-khong-phai-ket-luan-vi-pham-trong-hoan-thue-185260923083657905.htm`</w:t>
      </w:r>
    </w:p>
    <w:p>
      <w:pPr>
        <w:ind w:left="360"/>
      </w:pPr>
      <w:r>
        <w:rPr>
          <w:rFonts w:ascii="Times New Roman" w:hAnsi="Times New Roman"/>
          <w:sz w:val="22"/>
        </w:rPr>
        <w:t>•   `https://luatquanghuy.vn/tu-van-luat/thue-phi/3-truong-hop-bi-cong-khai-thong-tin-thue-len-mang-canh-bao-moi-cho-doanh-nghiep/`</w:t>
      </w:r>
    </w:p>
    <w:p>
      <w:pPr>
        <w:ind w:left="360"/>
      </w:pPr>
      <w:r>
        <w:rPr>
          <w:rFonts w:ascii="Times New Roman" w:hAnsi="Times New Roman"/>
          <w:sz w:val="22"/>
        </w:rPr>
        <w:t>•   `https://gdt.gov.vn/wps/portal/home/news`</w:t>
      </w:r>
    </w:p>
    <w:p>
      <w:r>
        <w:rPr>
          <w:rFonts w:ascii="Times New Roman" w:hAnsi="Times New Roman"/>
          <w:sz w:val="22"/>
        </w:rPr>
        <w:t>---</w:t>
      </w:r>
    </w:p>
    <w:p>
      <w:r>
        <w:rPr>
          <w:rFonts w:ascii="Times New Roman" w:hAnsi="Times New Roman"/>
          <w:sz w:val="22"/>
        </w:rPr>
        <w:t>Kính mong Lãnh đạo xem xét và chỉ đạo thực hiện.</w:t>
      </w:r>
    </w:p>
    <w:p>
      <w:r>
        <w:rPr>
          <w:rFonts w:ascii="Times New Roman" w:hAnsi="Times New Roman"/>
          <w:sz w:val="22"/>
        </w:rPr>
        <w:t>Trân trọng,</w:t>
      </w:r>
    </w:p>
    <w:p>
      <w:r>
        <w:rPr>
          <w:rFonts w:ascii="Times New Roman" w:hAnsi="Times New Roman"/>
          <w:sz w:val="22"/>
        </w:rPr>
        <w:t>**Thư ký Thạch Sanh**</w:t>
      </w:r>
    </w:p>
    <w:p>
      <w:r>
        <w:rPr>
          <w:rFonts w:ascii="Times New Roman" w:hAnsi="Times New Roman"/>
          <w:sz w:val="22"/>
        </w:rPr>
        <w:t>*(Tổng hợp Tin tức &amp; Cảnh báo Rủi ro Pháp lý)*</w:t>
      </w:r>
    </w:p>
    <w:p/>
    <w:p>
      <w:r>
        <w:rPr>
          <w:rFonts w:ascii="Times New Roman" w:hAnsi="Times New Roman"/>
          <w:b/>
          <w:color w:val="002855"/>
          <w:sz w:val="22"/>
        </w:rPr>
        <w:t>DANH MỤC NGUỒN THAM KHẢO INTERNET:</w:t>
      </w:r>
    </w:p>
    <w:p>
      <w:pPr>
        <w:ind w:left="360"/>
      </w:pPr>
      <w:r>
        <w:rPr>
          <w:rFonts w:ascii="Times New Roman" w:hAnsi="Times New Roman"/>
          <w:b/>
          <w:sz w:val="20"/>
        </w:rPr>
        <w:t xml:space="preserve">- [MỚI] Danh sách 6.070 doanh nghiệp rủi ro cao về thuế: </w:t>
      </w:r>
      <w:r>
        <w:rPr>
          <w:rFonts w:ascii="Times New Roman" w:hAnsi="Times New Roman"/>
          <w:i/>
          <w:color w:val="0284C7"/>
          <w:sz w:val="20"/>
        </w:rPr>
        <w:t>https://www.meinvoice.vn/tin-tuc/19785/doanh-nghiep-rui-ro-ve-hoa-don/</w:t>
      </w:r>
    </w:p>
    <w:p>
      <w:pPr>
        <w:ind w:left="360"/>
      </w:pPr>
      <w:r>
        <w:rPr>
          <w:rFonts w:ascii="Times New Roman" w:hAnsi="Times New Roman"/>
          <w:b/>
          <w:sz w:val="20"/>
        </w:rPr>
        <w:t xml:space="preserve">- Báo Pháp Luật Việt Nam | Tin tức pháp luật, an ninh, xã hội: </w:t>
      </w:r>
      <w:r>
        <w:rPr>
          <w:rFonts w:ascii="Times New Roman" w:hAnsi="Times New Roman"/>
          <w:i/>
          <w:color w:val="0284C7"/>
          <w:sz w:val="20"/>
        </w:rPr>
        <w:t>https://baophapluat.vn/</w:t>
      </w:r>
    </w:p>
    <w:p>
      <w:pPr>
        <w:ind w:left="360"/>
      </w:pPr>
      <w:r>
        <w:rPr>
          <w:rFonts w:ascii="Times New Roman" w:hAnsi="Times New Roman"/>
          <w:b/>
          <w:sz w:val="20"/>
        </w:rPr>
        <w:t xml:space="preserve">- Cục Thuế: Cảnh báo rủi ro không phải kết luận vi phạm trong hoàn thuế: </w:t>
      </w:r>
      <w:r>
        <w:rPr>
          <w:rFonts w:ascii="Times New Roman" w:hAnsi="Times New Roman"/>
          <w:i/>
          <w:color w:val="0284C7"/>
          <w:sz w:val="20"/>
        </w:rPr>
        <w:t>https://thanhnien.vn/cuc-thue-canh-bao-rui-ro-khong-phai-ket-luan-vi-pham-trong-hoan-thue-185260923083657905.htm</w:t>
      </w:r>
    </w:p>
    <w:p>
      <w:pPr>
        <w:ind w:left="360"/>
      </w:pPr>
      <w:r>
        <w:rPr>
          <w:rFonts w:ascii="Times New Roman" w:hAnsi="Times New Roman"/>
          <w:b/>
          <w:sz w:val="20"/>
        </w:rPr>
        <w:t xml:space="preserve">- 3 trường hợp bị công khai thông tin thuế lên mạng: Cảnh báo mới cho ...: </w:t>
      </w:r>
      <w:r>
        <w:rPr>
          <w:rFonts w:ascii="Times New Roman" w:hAnsi="Times New Roman"/>
          <w:i/>
          <w:color w:val="0284C7"/>
          <w:sz w:val="20"/>
        </w:rPr>
        <w:t>https://luatquanghuy.vn/tu-van-luat/thue-phi/3-truong-hop-bi-cong-khai-thong-tin-thue-len-mang-canh-bao-moi-cho-doanh-nghiep/</w:t>
      </w:r>
    </w:p>
    <w:p>
      <w:pPr>
        <w:ind w:left="360"/>
      </w:pPr>
      <w:r>
        <w:rPr>
          <w:rFonts w:ascii="Times New Roman" w:hAnsi="Times New Roman"/>
          <w:b/>
          <w:sz w:val="20"/>
        </w:rPr>
        <w:t xml:space="preserve">- Điểm tin Việt Nam - PwC: </w:t>
      </w:r>
      <w:r>
        <w:rPr>
          <w:rFonts w:ascii="Times New Roman" w:hAnsi="Times New Roman"/>
          <w:i/>
          <w:color w:val="0284C7"/>
          <w:sz w:val="20"/>
        </w:rPr>
        <w:t>https://www.pwc.com/vn/vn/publications/news-brief.html</w:t>
      </w:r>
    </w:p>
    <w:p>
      <w:pPr>
        <w:ind w:left="360"/>
      </w:pPr>
      <w:r>
        <w:rPr>
          <w:rFonts w:ascii="Times New Roman" w:hAnsi="Times New Roman"/>
          <w:b/>
          <w:sz w:val="20"/>
        </w:rPr>
        <w:t xml:space="preserve">- Cục Thuế - Bộ Tài Chính - Tin tức: </w:t>
      </w:r>
      <w:r>
        <w:rPr>
          <w:rFonts w:ascii="Times New Roman" w:hAnsi="Times New Roman"/>
          <w:i/>
          <w:color w:val="0284C7"/>
          <w:sz w:val="20"/>
        </w:rPr>
        <w:t>https://gdt.gov.vn/wps/portal/home/news</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