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Cô Tấm (Hình tượng cổ tích: Cô Tấm)</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Tin tức Chính sách An sinh Xã hội, Lao động &amp; Thuế TNCN</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Hằng ngày tìm kiếm các tin tức và văn bản chính sách mới nhất trên Internet về lĩnh vực này. Tổng hợp bối cảnh, các điểm mới, thời hạn áp dụng, đánh giá tác động và khuyến nghị hành động cho Ban Giám đốc.</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08:00:56</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Ban Giám đốc,</w:t>
      </w:r>
    </w:p>
    <w:p>
      <w:r>
        <w:rPr>
          <w:rFonts w:ascii="Times New Roman" w:hAnsi="Times New Roman"/>
          <w:sz w:val="22"/>
        </w:rPr>
        <w:t>Tôi là Thư ký Cô Tấm, xin trân trọng gửi đến Ban Giám đốc bản báo cáo tổng hợp các tin tức và văn bản chính sách mới nhất về lĩnh vực An sinh xã hội, Lao động và Thuế Thu nhập cá nhân (TNCN), đặc biệt là những quy định sẽ có hiệu lực từ ngày 01/7/2026.</w:t>
      </w:r>
    </w:p>
    <w:p>
      <w:r>
        <w:rPr>
          <w:rFonts w:ascii="Times New Roman" w:hAnsi="Times New Roman"/>
          <w:sz w:val="22"/>
        </w:rPr>
        <w:t>---</w:t>
      </w:r>
    </w:p>
    <w:p>
      <w:r>
        <w:rPr>
          <w:rFonts w:ascii="Times New Roman" w:hAnsi="Times New Roman"/>
          <w:b/>
          <w:sz w:val="23"/>
        </w:rPr>
        <w:t>1. TIÊU ĐỀ BÁO CÁO</w:t>
      </w:r>
    </w:p>
    <w:p>
      <w:r>
        <w:rPr>
          <w:rFonts w:ascii="Times New Roman" w:hAnsi="Times New Roman"/>
          <w:sz w:val="22"/>
        </w:rPr>
        <w:t>**BÁO CÁO ĐIỂM TIN CHÍNH SÁCH: CẬP NHẬT TRỌNG TÂM CÁC QUY ĐỊNH MỚI VỀ LAO ĐỘNG, AN SINH XÃ HỘI VÀ THUẾ TNCN CÓ HIỆU LỰC TỪ 01/7/2026**</w:t>
      </w:r>
    </w:p>
    <w:p>
      <w:r>
        <w:rPr>
          <w:rFonts w:ascii="Times New Roman" w:hAnsi="Times New Roman"/>
          <w:sz w:val="22"/>
        </w:rPr>
        <w:t>---</w:t>
      </w:r>
    </w:p>
    <w:p>
      <w:r>
        <w:rPr>
          <w:rFonts w:ascii="Times New Roman" w:hAnsi="Times New Roman"/>
          <w:b/>
          <w:sz w:val="23"/>
        </w:rPr>
        <w:t>2. TỔNG QUAN TÌNH HÌNH &amp; BỐI CẢNH MỚI NHẤT</w:t>
      </w:r>
    </w:p>
    <w:p>
      <w:r>
        <w:rPr>
          <w:rFonts w:ascii="Times New Roman" w:hAnsi="Times New Roman"/>
          <w:sz w:val="22"/>
        </w:rPr>
        <w:t>Giai đoạn giữa năm 2026 đánh dấu một cột mốc quan trọng với sự ra đời và có hiệu lực của hàng loạt chính sách mới trong các lĩnh vực cốt lõi như Lao động, An sinh xã hội và Thuế Thu nhập cá nhân. Đây là kết quả của quá trình rà soát, hoàn thiện khung pháp lý nhằm đáp ứng yêu cầu phát triển kinh tế - xã hội, đảm bảo quyền lợi cho người lao động, người dân, đồng thời tăng cường hiệu quả quản lý nhà nước.</w:t>
      </w:r>
    </w:p>
    <w:p>
      <w:r>
        <w:rPr>
          <w:rFonts w:ascii="Times New Roman" w:hAnsi="Times New Roman"/>
          <w:sz w:val="22"/>
        </w:rPr>
        <w:t>Các thay đổi này không chỉ tác động trực tiếp đến quyền và nghĩa vụ của người lao động mà còn đặt ra những yêu cầu mới đối với doanh nghiệp trong việc rà soát, điều chỉnh quy trình quản lý nhân sự, kế toán, tài chính và tuân thủ pháp luật. Việc nắm bắt kịp thời và chuẩn bị chu đáo là yếu tố then chốt để doanh nghiệp duy trì hoạt động ổn định và phát triển bền vững.</w:t>
      </w:r>
    </w:p>
    <w:p>
      <w:r>
        <w:rPr>
          <w:rFonts w:ascii="Times New Roman" w:hAnsi="Times New Roman"/>
          <w:sz w:val="22"/>
        </w:rPr>
        <w:t>---</w:t>
      </w:r>
    </w:p>
    <w:p>
      <w:r>
        <w:rPr>
          <w:rFonts w:ascii="Times New Roman" w:hAnsi="Times New Roman"/>
          <w:b/>
          <w:sz w:val="23"/>
        </w:rPr>
        <w:t>3. CÁC NỘI DUNG CHÍNH / ĐIỂM MỚI QUAN TRỌNG</w:t>
      </w:r>
    </w:p>
    <w:p>
      <w:r>
        <w:rPr>
          <w:rFonts w:ascii="Times New Roman" w:hAnsi="Times New Roman"/>
          <w:sz w:val="22"/>
        </w:rPr>
        <w:t>Các chính sách trọng tâm được cập nhật và sẽ có hiệu lực từ ngày **01/7/2026** bao gồm:</w:t>
      </w:r>
    </w:p>
    <w:p>
      <w:r>
        <w:rPr>
          <w:rFonts w:ascii="Times New Roman" w:hAnsi="Times New Roman"/>
          <w:sz w:val="22"/>
        </w:rPr>
        <w:t>**A. Lĩnh vực Lao động &amp; An sinh xã hội**</w:t>
      </w:r>
    </w:p>
    <w:p>
      <w:pPr>
        <w:ind w:left="360"/>
      </w:pPr>
      <w:r>
        <w:rPr>
          <w:rFonts w:ascii="Times New Roman" w:hAnsi="Times New Roman"/>
          <w:sz w:val="22"/>
        </w:rPr>
        <w:t>•   **Bối cảnh:** Các quy định mới nhằm điều chỉnh, bổ sung các chế độ, quyền lợi cho người lao động và nghĩa vụ của người sử dụng lao động, phản ánh sự thay đổi trong bối cảnh kinh tế và xã hội.</w:t>
      </w:r>
    </w:p>
    <w:p>
      <w:pPr>
        <w:ind w:left="360"/>
      </w:pPr>
      <w:r>
        <w:rPr>
          <w:rFonts w:ascii="Times New Roman" w:hAnsi="Times New Roman"/>
          <w:sz w:val="22"/>
        </w:rPr>
        <w:t>•   **Các điểm mới đáng chú ý:**</w:t>
      </w:r>
    </w:p>
    <w:p>
      <w:pPr>
        <w:ind w:left="360"/>
      </w:pPr>
      <w:r>
        <w:rPr>
          <w:rFonts w:ascii="Times New Roman" w:hAnsi="Times New Roman"/>
          <w:sz w:val="22"/>
        </w:rPr>
        <w:t>•   **Trợ cấp Bảo hiểm xã hội (BHXH):** Dự kiến có những thay đổi về mức hưởng, điều kiện hưởng các loại trợ cấp BHXH, nhằm đảm bảo tính công bằng và bền vững của quỹ.</w:t>
      </w:r>
    </w:p>
    <w:p>
      <w:pPr>
        <w:ind w:left="360"/>
      </w:pPr>
      <w:r>
        <w:rPr>
          <w:rFonts w:ascii="Times New Roman" w:hAnsi="Times New Roman"/>
          <w:sz w:val="22"/>
        </w:rPr>
        <w:t>•   **Mức đóng bảo hiểm bắt buộc:** Có thể có sự điều chỉnh về tỷ lệ đóng hoặc căn cứ đóng BHXH bắt buộc, ảnh hưởng trực tiếp đến chi phí của doanh nghiệp và thu nhập của người lao động.</w:t>
      </w:r>
    </w:p>
    <w:p>
      <w:pPr>
        <w:ind w:left="360"/>
      </w:pPr>
      <w:r>
        <w:rPr>
          <w:rFonts w:ascii="Times New Roman" w:hAnsi="Times New Roman"/>
          <w:sz w:val="22"/>
        </w:rPr>
        <w:t>•   **Chế độ nghỉ thai sản:** Các quy định về thời gian nghỉ, điều kiện hưởng và mức hưởng chế độ thai sản có thể được sửa đổi, bổ sung để phù hợp hơn với thực tiễn và hỗ trợ tốt hơn cho lao động nữ.</w:t>
      </w:r>
    </w:p>
    <w:p>
      <w:pPr>
        <w:ind w:left="360"/>
      </w:pPr>
      <w:r>
        <w:rPr>
          <w:rFonts w:ascii="Times New Roman" w:hAnsi="Times New Roman"/>
          <w:sz w:val="22"/>
        </w:rPr>
        <w:t>•   **Hợp đồng lao động điện tử:** Việc áp dụng và công nhận hợp đồng lao động điện tử được kỳ vọng sẽ trở nên phổ biến hơn, tinh gọn thủ tục hành chính, tạo thuận lợi cho cả người lao động và người sử dụng lao động trong kỷ nguyên số.</w:t>
      </w:r>
    </w:p>
    <w:p>
      <w:pPr>
        <w:ind w:left="360"/>
      </w:pPr>
      <w:r>
        <w:rPr>
          <w:rFonts w:ascii="Times New Roman" w:hAnsi="Times New Roman"/>
          <w:sz w:val="22"/>
        </w:rPr>
        <w:t>•   **Thời hạn áp dụng:** Từ ngày **01/7/2026**.</w:t>
      </w:r>
    </w:p>
    <w:p>
      <w:pPr>
        <w:ind w:left="360"/>
      </w:pPr>
      <w:r>
        <w:rPr>
          <w:rFonts w:ascii="Times New Roman" w:hAnsi="Times New Roman"/>
          <w:sz w:val="22"/>
        </w:rPr>
        <w:t>•   **Văn bản liên quan:** Các văn bản hướng dẫn chi tiết sẽ được ban hành để cụ thể hóa các thay đổi này.</w:t>
      </w:r>
    </w:p>
    <w:p>
      <w:r>
        <w:rPr>
          <w:rFonts w:ascii="Times New Roman" w:hAnsi="Times New Roman"/>
          <w:sz w:val="22"/>
        </w:rPr>
        <w:t>**B. Lĩnh vực Thuế Thu nhập cá nhân (TNCN)**</w:t>
      </w:r>
    </w:p>
    <w:p>
      <w:pPr>
        <w:ind w:left="360"/>
      </w:pPr>
      <w:r>
        <w:rPr>
          <w:rFonts w:ascii="Times New Roman" w:hAnsi="Times New Roman"/>
          <w:sz w:val="22"/>
        </w:rPr>
        <w:t>•   **Bối cảnh:** Luật Thuế TNCN 2025 và các văn bản hướng dẫn mới được ban hành nhằm sửa đổi, bổ sung các quy định hiện hành, giải quyết những bất cập, đảm bảo tính minh bạch, công bằng và khuyến khích phát triển.</w:t>
      </w:r>
    </w:p>
    <w:p>
      <w:pPr>
        <w:ind w:left="360"/>
      </w:pPr>
      <w:r>
        <w:rPr>
          <w:rFonts w:ascii="Times New Roman" w:hAnsi="Times New Roman"/>
          <w:sz w:val="22"/>
        </w:rPr>
        <w:t>•   **Các điểm mới đáng chú ý:**</w:t>
      </w:r>
    </w:p>
    <w:p>
      <w:pPr>
        <w:ind w:left="360"/>
      </w:pPr>
      <w:r>
        <w:rPr>
          <w:rFonts w:ascii="Times New Roman" w:hAnsi="Times New Roman"/>
          <w:sz w:val="22"/>
        </w:rPr>
        <w:t>•   **Văn bản pháp lý:**</w:t>
      </w:r>
    </w:p>
    <w:p>
      <w:pPr>
        <w:ind w:left="360"/>
      </w:pPr>
      <w:r>
        <w:rPr>
          <w:rFonts w:ascii="Times New Roman" w:hAnsi="Times New Roman"/>
          <w:sz w:val="22"/>
        </w:rPr>
        <w:t>•   **Luật Thuế TNCN 2025** (thay thế hoặc sửa đổi Luật hiện hành).</w:t>
      </w:r>
    </w:p>
    <w:p>
      <w:pPr>
        <w:ind w:left="360"/>
      </w:pPr>
      <w:r>
        <w:rPr>
          <w:rFonts w:ascii="Times New Roman" w:hAnsi="Times New Roman"/>
          <w:sz w:val="22"/>
        </w:rPr>
        <w:t>•   **Nghị định 253/2026/NĐ-CP** (hướng dẫn thi hành Luật Thuế TNCN 2025).</w:t>
      </w:r>
    </w:p>
    <w:p>
      <w:pPr>
        <w:ind w:left="360"/>
      </w:pPr>
      <w:r>
        <w:rPr>
          <w:rFonts w:ascii="Times New Roman" w:hAnsi="Times New Roman"/>
          <w:sz w:val="22"/>
        </w:rPr>
        <w:t>•   **Nội dung chính:** Có **9 điểm mới quan trọng** được nhấn mạnh, tập trung vào:</w:t>
      </w:r>
    </w:p>
    <w:p>
      <w:pPr>
        <w:ind w:left="360"/>
      </w:pPr>
      <w:r>
        <w:rPr>
          <w:rFonts w:ascii="Times New Roman" w:hAnsi="Times New Roman"/>
          <w:sz w:val="22"/>
        </w:rPr>
        <w:t>•   **Xác định thu nhập chịu thuế:** Có thể có sự thay đổi về các khoản thu nhập được miễn, giảm hoặc cách tính thu nhập chịu thuế.</w:t>
      </w:r>
    </w:p>
    <w:p>
      <w:pPr>
        <w:ind w:left="360"/>
      </w:pPr>
      <w:r>
        <w:rPr>
          <w:rFonts w:ascii="Times New Roman" w:hAnsi="Times New Roman"/>
          <w:sz w:val="22"/>
        </w:rPr>
        <w:t>•   **Khấu trừ thuế:** Điều chỉnh về các khoản được khấu trừ, mức khấu trừ gia cảnh, hoặc phương pháp khấu trừ thuế tại nguồn.</w:t>
      </w:r>
    </w:p>
    <w:p>
      <w:pPr>
        <w:ind w:left="360"/>
      </w:pPr>
      <w:r>
        <w:rPr>
          <w:rFonts w:ascii="Times New Roman" w:hAnsi="Times New Roman"/>
          <w:sz w:val="22"/>
        </w:rPr>
        <w:t>•   **Quyết toán thuế:** Quy định mới về đối tượng, thời hạn, thủ tục quyết toán thuế TNCN cho cá nhân và tổ chức trả thu nhập.</w:t>
      </w:r>
    </w:p>
    <w:p>
      <w:pPr>
        <w:ind w:left="360"/>
      </w:pPr>
      <w:r>
        <w:rPr>
          <w:rFonts w:ascii="Times New Roman" w:hAnsi="Times New Roman"/>
          <w:sz w:val="22"/>
        </w:rPr>
        <w:t>•   **Nghĩa vụ của cá nhân và tổ chức trả thu nhập:** Làm rõ hơn trách nhiệm của các bên trong việc kê khai, nộp và quyết toán thuế TNCN.</w:t>
      </w:r>
    </w:p>
    <w:p>
      <w:pPr>
        <w:ind w:left="360"/>
      </w:pPr>
      <w:r>
        <w:rPr>
          <w:rFonts w:ascii="Times New Roman" w:hAnsi="Times New Roman"/>
          <w:sz w:val="22"/>
        </w:rPr>
        <w:t>•   **Thời hạn áp dụng:** Từ ngày **01/7/2026**.</w:t>
      </w:r>
    </w:p>
    <w:p>
      <w:r>
        <w:rPr>
          <w:rFonts w:ascii="Times New Roman" w:hAnsi="Times New Roman"/>
          <w:sz w:val="22"/>
        </w:rPr>
        <w:t>---</w:t>
      </w:r>
    </w:p>
    <w:p>
      <w:r>
        <w:rPr>
          <w:rFonts w:ascii="Times New Roman" w:hAnsi="Times New Roman"/>
          <w:b/>
          <w:sz w:val="23"/>
        </w:rPr>
        <w:t>4. ĐÁNH GIÁ TÁC ĐỘNG ĐỐI VỚI DOANH NGHIỆP &amp; NGƯỜI NỘP THUẾ</w:t>
      </w:r>
    </w:p>
    <w:p>
      <w:r>
        <w:rPr>
          <w:rFonts w:ascii="Times New Roman" w:hAnsi="Times New Roman"/>
          <w:sz w:val="22"/>
        </w:rPr>
        <w:t>**A. Đối với Doanh nghiệp (Người sử dụng lao động và Tổ chức trả thu nhập)**</w:t>
      </w:r>
    </w:p>
    <w:p>
      <w:pPr>
        <w:ind w:left="360"/>
      </w:pPr>
      <w:r>
        <w:rPr>
          <w:rFonts w:ascii="Times New Roman" w:hAnsi="Times New Roman"/>
          <w:sz w:val="22"/>
        </w:rPr>
        <w:t>•   **Chi phí lao động:** Các thay đổi về mức đóng BHXH bắt buộc có thể làm tăng hoặc giảm chi phí nhân sự của doanh nghiệp.</w:t>
      </w:r>
    </w:p>
    <w:p>
      <w:pPr>
        <w:ind w:left="360"/>
      </w:pPr>
      <w:r>
        <w:rPr>
          <w:rFonts w:ascii="Times New Roman" w:hAnsi="Times New Roman"/>
          <w:sz w:val="22"/>
        </w:rPr>
        <w:t>•   **Quy trình nhân sự:** Cần rà soát, cập nhật các quy chế nội bộ, hợp đồng lao động, chính sách phúc lợi, quy trình tính lương, thưởng, chế độ thai sản để phù hợp với quy định mới.</w:t>
      </w:r>
    </w:p>
    <w:p>
      <w:pPr>
        <w:ind w:left="360"/>
      </w:pPr>
      <w:r>
        <w:rPr>
          <w:rFonts w:ascii="Times New Roman" w:hAnsi="Times New Roman"/>
          <w:sz w:val="22"/>
        </w:rPr>
        <w:t>•   **Hệ thống kế toán &amp; tài chính:** Yêu cầu điều chỉnh phần mềm, quy trình tính toán, khấu trừ, kê khai và quyết toán thuế TNCN cho người lao động.</w:t>
      </w:r>
    </w:p>
    <w:p>
      <w:pPr>
        <w:ind w:left="360"/>
      </w:pPr>
      <w:r>
        <w:rPr>
          <w:rFonts w:ascii="Times New Roman" w:hAnsi="Times New Roman"/>
          <w:sz w:val="22"/>
        </w:rPr>
        <w:t>•   **Tuân thủ pháp luật:** Tăng cường trách nhiệm tuân thủ các quy định mới về lao động, BHXH và thuế để tránh các rủi ro pháp lý, phạt hành chính.</w:t>
      </w:r>
    </w:p>
    <w:p>
      <w:pPr>
        <w:ind w:left="360"/>
      </w:pPr>
      <w:r>
        <w:rPr>
          <w:rFonts w:ascii="Times New Roman" w:hAnsi="Times New Roman"/>
          <w:sz w:val="22"/>
        </w:rPr>
        <w:t>•   **Cơ hội:** Việc áp dụng hợp đồng lao động điện tử có thể giúp doanh nghiệp tinh gọn thủ tục hành chính, tiết kiệm chi phí in ấn, lưu trữ và quản lý hồ sơ.</w:t>
      </w:r>
    </w:p>
    <w:p>
      <w:r>
        <w:rPr>
          <w:rFonts w:ascii="Times New Roman" w:hAnsi="Times New Roman"/>
          <w:sz w:val="22"/>
        </w:rPr>
        <w:t>**B. Đối với Người lao động &amp; Người nộp thuế**</w:t>
      </w:r>
    </w:p>
    <w:p>
      <w:pPr>
        <w:ind w:left="360"/>
      </w:pPr>
      <w:r>
        <w:rPr>
          <w:rFonts w:ascii="Times New Roman" w:hAnsi="Times New Roman"/>
          <w:sz w:val="22"/>
        </w:rPr>
        <w:t>•   **Quyền lợi an sinh:** Các thay đổi về trợ cấp BHXH, chế độ thai sản có thể ảnh hưởng trực tiếp đến quyền lợi và mức hưởng của người lao động.</w:t>
      </w:r>
    </w:p>
    <w:p>
      <w:pPr>
        <w:ind w:left="360"/>
      </w:pPr>
      <w:r>
        <w:rPr>
          <w:rFonts w:ascii="Times New Roman" w:hAnsi="Times New Roman"/>
          <w:sz w:val="22"/>
        </w:rPr>
        <w:t>•   **Nghĩa vụ thuế:** Thay đổi về cách xác định thu nhập chịu thuế, các khoản khấu trừ sẽ ảnh hưởng đến số thuế TNCN phải nộp, có thể làm tăng hoặc giảm thu nhập thực tế.</w:t>
      </w:r>
    </w:p>
    <w:p>
      <w:pPr>
        <w:ind w:left="360"/>
      </w:pPr>
      <w:r>
        <w:rPr>
          <w:rFonts w:ascii="Times New Roman" w:hAnsi="Times New Roman"/>
          <w:sz w:val="22"/>
        </w:rPr>
        <w:t>•   **Trách nhiệm cá nhân:** Người lao động cần chủ động tìm hiểu để đảm bảo thực hiện đúng nghĩa vụ và hưởng đầy đủ quyền lợi theo quy định mới.</w:t>
      </w:r>
    </w:p>
    <w:p>
      <w:r>
        <w:rPr>
          <w:rFonts w:ascii="Times New Roman" w:hAnsi="Times New Roman"/>
          <w:sz w:val="22"/>
        </w:rPr>
        <w:t>---</w:t>
      </w:r>
    </w:p>
    <w:p>
      <w:r>
        <w:rPr>
          <w:rFonts w:ascii="Times New Roman" w:hAnsi="Times New Roman"/>
          <w:b/>
          <w:sz w:val="23"/>
        </w:rPr>
        <w:t>5. KHUYẾN NGHỊ / GIẢI PHÁP HÀNH ĐỘNG HỮU ÍCH DÀNH CHO LÃNH ĐẠO</w:t>
      </w:r>
    </w:p>
    <w:p>
      <w:r>
        <w:rPr>
          <w:rFonts w:ascii="Times New Roman" w:hAnsi="Times New Roman"/>
          <w:sz w:val="22"/>
        </w:rPr>
        <w:t>Để đảm bảo doanh nghiệp thích ứng kịp thời và hiệu quả với các thay đổi chính sách quan trọng này, tôi xin đề xuất các khuyến nghị hành động sau:</w:t>
      </w:r>
    </w:p>
    <w:p>
      <w:r>
        <w:rPr>
          <w:rFonts w:ascii="Times New Roman" w:hAnsi="Times New Roman"/>
          <w:sz w:val="22"/>
        </w:rPr>
        <w:t>1.  **Chủ động cập nhật thông tin chi tiết:**</w:t>
      </w:r>
    </w:p>
    <w:p>
      <w:pPr>
        <w:ind w:left="360"/>
      </w:pPr>
      <w:r>
        <w:rPr>
          <w:rFonts w:ascii="Times New Roman" w:hAnsi="Times New Roman"/>
          <w:sz w:val="22"/>
        </w:rPr>
        <w:t>•   Chỉ đạo các phòng ban liên quan (Phòng Nhân sự, Phòng Kế toán - Tài chính, Phòng Pháp chế) theo dõi sát sao các văn bản hướng dẫn chi tiết (Thông tư, Công văn) sẽ được ban hành sau Luật và Nghị định.</w:t>
      </w:r>
    </w:p>
    <w:p>
      <w:pPr>
        <w:ind w:left="360"/>
      </w:pPr>
      <w:r>
        <w:rPr>
          <w:rFonts w:ascii="Times New Roman" w:hAnsi="Times New Roman"/>
          <w:sz w:val="22"/>
        </w:rPr>
        <w:t>•   Đăng ký nhận thông báo từ các cổng thông tin pháp luật uy tín (như Thư viện Pháp luật, LuatVietnam, Cổng thông tin Chính phủ).</w:t>
      </w:r>
    </w:p>
    <w:p>
      <w:r>
        <w:rPr>
          <w:rFonts w:ascii="Times New Roman" w:hAnsi="Times New Roman"/>
          <w:sz w:val="22"/>
        </w:rPr>
        <w:t>2.  **Rà soát và điều chỉnh quy trình nội bộ:**</w:t>
      </w:r>
    </w:p>
    <w:p>
      <w:pPr>
        <w:ind w:left="360"/>
      </w:pPr>
      <w:r>
        <w:rPr>
          <w:rFonts w:ascii="Times New Roman" w:hAnsi="Times New Roman"/>
          <w:sz w:val="22"/>
        </w:rPr>
        <w:t>•   **Phòng Nhân sự:** Khẩn trương rà soát, cập nhật các quy chế, quy định nội bộ về lao động, hợp đồng lao động, chính sách BHXH, chế độ thai sản. Lên kế hoạch triển khai hợp đồng lao động điện tử nếu phù hợp.</w:t>
      </w:r>
    </w:p>
    <w:p>
      <w:pPr>
        <w:ind w:left="360"/>
      </w:pPr>
      <w:r>
        <w:rPr>
          <w:rFonts w:ascii="Times New Roman" w:hAnsi="Times New Roman"/>
          <w:sz w:val="22"/>
        </w:rPr>
        <w:t>•   **Phòng Kế toán - Tài chính:** Đánh giá tác động của các thay đổi về mức đóng BHXH và thuế TNCN lên chi phí nhân sự và dòng tiền của doanh nghiệp. Điều chỉnh hệ thống tính lương, khấu trừ thuế, quy trình kê khai và quyết toán thuế TNCN.</w:t>
      </w:r>
    </w:p>
    <w:p>
      <w:r>
        <w:rPr>
          <w:rFonts w:ascii="Times New Roman" w:hAnsi="Times New Roman"/>
          <w:sz w:val="22"/>
        </w:rPr>
        <w:t>3.  **Đào tạo và truyền thông nội bộ:**</w:t>
      </w:r>
    </w:p>
    <w:p>
      <w:pPr>
        <w:ind w:left="360"/>
      </w:pPr>
      <w:r>
        <w:rPr>
          <w:rFonts w:ascii="Times New Roman" w:hAnsi="Times New Roman"/>
          <w:sz w:val="22"/>
        </w:rPr>
        <w:t>•   Tổ chức các buổi tập huấn, phổ biến kiến thức về các chính sách mới cho toàn thể cán bộ quản lý, nhân viên các phòng ban liên quan (HR, Kế toán, Pháp chế).</w:t>
      </w:r>
    </w:p>
    <w:p>
      <w:pPr>
        <w:ind w:left="360"/>
      </w:pPr>
      <w:r>
        <w:rPr>
          <w:rFonts w:ascii="Times New Roman" w:hAnsi="Times New Roman"/>
          <w:sz w:val="22"/>
        </w:rPr>
        <w:t>•   Truyền thông rõ ràng, minh bạch đến toàn thể người lao động về những thay đổi ảnh hưởng trực tiếp đến quyền lợi và nghĩa vụ của họ.</w:t>
      </w:r>
    </w:p>
    <w:p>
      <w:r>
        <w:rPr>
          <w:rFonts w:ascii="Times New Roman" w:hAnsi="Times New Roman"/>
          <w:sz w:val="22"/>
        </w:rPr>
        <w:t>4.  **Tham vấn chuyên gia:**</w:t>
      </w:r>
    </w:p>
    <w:p>
      <w:pPr>
        <w:ind w:left="360"/>
      </w:pPr>
      <w:r>
        <w:rPr>
          <w:rFonts w:ascii="Times New Roman" w:hAnsi="Times New Roman"/>
          <w:sz w:val="22"/>
        </w:rPr>
        <w:t>•   Trong trường hợp các quy định phức tạp hoặc có nhiều điểm chưa rõ ràng, cân nhắc tìm kiếm sự tư vấn từ các chuyên gia pháp lý, thuế, hoặc công ty tư vấn chuyên nghiệp để đảm bảo việc tuân thủ đúng đắn và tối ưu.</w:t>
      </w:r>
    </w:p>
    <w:p>
      <w:r>
        <w:rPr>
          <w:rFonts w:ascii="Times New Roman" w:hAnsi="Times New Roman"/>
          <w:sz w:val="22"/>
        </w:rPr>
        <w:t>5.  **Chuẩn bị nguồn lực:**</w:t>
      </w:r>
    </w:p>
    <w:p>
      <w:pPr>
        <w:ind w:left="360"/>
      </w:pPr>
      <w:r>
        <w:rPr>
          <w:rFonts w:ascii="Times New Roman" w:hAnsi="Times New Roman"/>
          <w:sz w:val="22"/>
        </w:rPr>
        <w:t>•   Dự phòng ngân sách cho các chi phí phát sinh (nếu có) do thay đổi mức đóng BHXH hoặc các chi phí liên quan đến việc cập nhật hệ thống, đào tạo.</w:t>
      </w:r>
    </w:p>
    <w:p>
      <w:pPr>
        <w:ind w:left="360"/>
      </w:pPr>
      <w:r>
        <w:rPr>
          <w:rFonts w:ascii="Times New Roman" w:hAnsi="Times New Roman"/>
          <w:sz w:val="22"/>
        </w:rPr>
        <w:t>•   Đảm bảo hệ thống công nghệ thông tin (phần mềm quản lý nhân sự, kế toán) sẵn sàng cho việc điều chỉnh theo quy định mới.</w:t>
      </w:r>
    </w:p>
    <w:p>
      <w:r>
        <w:rPr>
          <w:rFonts w:ascii="Times New Roman" w:hAnsi="Times New Roman"/>
          <w:sz w:val="22"/>
        </w:rPr>
        <w:t>---</w:t>
      </w:r>
    </w:p>
    <w:p>
      <w:r>
        <w:rPr>
          <w:rFonts w:ascii="Times New Roman" w:hAnsi="Times New Roman"/>
          <w:b/>
          <w:sz w:val="23"/>
        </w:rPr>
        <w:t>6. NGUỒN THAM KHẢO CHÍNH</w:t>
      </w:r>
    </w:p>
    <w:p>
      <w:r>
        <w:rPr>
          <w:rFonts w:ascii="Times New Roman" w:hAnsi="Times New Roman"/>
          <w:sz w:val="22"/>
        </w:rPr>
        <w:t>1.  **Tổng hợp những chính sách mới có hiệu lực từ 01/7/2026 người lao động...**</w:t>
      </w:r>
    </w:p>
    <w:p>
      <w:pPr>
        <w:ind w:left="360"/>
      </w:pPr>
      <w:r>
        <w:rPr>
          <w:rFonts w:ascii="Times New Roman" w:hAnsi="Times New Roman"/>
          <w:sz w:val="22"/>
        </w:rPr>
        <w:t>•   Đường dẫn: `https://thuvienphapluat.vn/banan/tin-tuc/tong-hop-nhung-chinh-sach-moi-co-hieu-luc-tu-0172026-nguoi-lao-dong-va-nguoi-su-dung-lao-dong-can-n-50189.html`</w:t>
      </w:r>
    </w:p>
    <w:p>
      <w:r>
        <w:rPr>
          <w:rFonts w:ascii="Times New Roman" w:hAnsi="Times New Roman"/>
          <w:sz w:val="22"/>
        </w:rPr>
        <w:t>2.  **9 điểm mới quan trọng về thuế TNCN từ ngày 01/7/2026 theo Luật Thuế...**</w:t>
      </w:r>
    </w:p>
    <w:p>
      <w:pPr>
        <w:ind w:left="360"/>
      </w:pPr>
      <w:r>
        <w:rPr>
          <w:rFonts w:ascii="Times New Roman" w:hAnsi="Times New Roman"/>
          <w:sz w:val="22"/>
        </w:rPr>
        <w:t>•   Đường dẫn: `https://thuvienphapluat.vn/ma-so-thue/phap-luat-thue/9-diem-moi-quan-trong-ve-thue-tncn-tu-ngay-0172026-theo-luat-thue-tncn-2025-nghi-dinh-2532026ndcp-v-227962.html`</w:t>
      </w:r>
    </w:p>
    <w:p>
      <w:r>
        <w:rPr>
          <w:rFonts w:ascii="Times New Roman" w:hAnsi="Times New Roman"/>
          <w:sz w:val="22"/>
        </w:rPr>
        <w:t>3.  **Luật Thuế TNCN mới nhất 2026 và văn bản hướng dẫn**</w:t>
      </w:r>
    </w:p>
    <w:p>
      <w:pPr>
        <w:ind w:left="360"/>
      </w:pPr>
      <w:r>
        <w:rPr>
          <w:rFonts w:ascii="Times New Roman" w:hAnsi="Times New Roman"/>
          <w:sz w:val="22"/>
        </w:rPr>
        <w:t>•   Đường dẫn: `https://luatvietnam.vn/thue-phi-le-phi/tong-hop-van-ban-huong-dan-ve-thue-tncn-moi-nhat-565-96172-article.html`</w:t>
      </w:r>
    </w:p>
    <w:p>
      <w:r>
        <w:rPr>
          <w:rFonts w:ascii="Times New Roman" w:hAnsi="Times New Roman"/>
          <w:sz w:val="22"/>
        </w:rPr>
        <w:t>---</w:t>
      </w:r>
    </w:p>
    <w:p>
      <w:r>
        <w:rPr>
          <w:rFonts w:ascii="Times New Roman" w:hAnsi="Times New Roman"/>
          <w:sz w:val="22"/>
        </w:rPr>
        <w:t>Trân trọng báo cáo,</w:t>
      </w:r>
    </w:p>
    <w:p>
      <w:r>
        <w:rPr>
          <w:rFonts w:ascii="Times New Roman" w:hAnsi="Times New Roman"/>
          <w:sz w:val="22"/>
        </w:rPr>
        <w:t>**Thư ký Cô Tấm**</w:t>
      </w:r>
    </w:p>
    <w:p>
      <w:r>
        <w:rPr>
          <w:rFonts w:ascii="Times New Roman" w:hAnsi="Times New Roman"/>
          <w:sz w:val="22"/>
        </w:rPr>
        <w:t>*Ngày 25 tháng 10 năm 2026*</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Tin Mới Nhất - BÁO ĐIỆN TỬ CHÍNH PHỦ NƯỚC CHXHCN VIỆT NAM: </w:t>
      </w:r>
      <w:r>
        <w:rPr>
          <w:rFonts w:ascii="Times New Roman" w:hAnsi="Times New Roman"/>
          <w:i/>
          <w:color w:val="0284C7"/>
          <w:sz w:val="20"/>
        </w:rPr>
        <w:t>https://baochinhphu.vn/tin-moi.htm</w:t>
      </w:r>
    </w:p>
    <w:p>
      <w:pPr>
        <w:ind w:left="360"/>
      </w:pPr>
      <w:r>
        <w:rPr>
          <w:rFonts w:ascii="Times New Roman" w:hAnsi="Times New Roman"/>
          <w:b/>
          <w:sz w:val="20"/>
        </w:rPr>
        <w:t xml:space="preserve">- Tổng hợp những chính sách mới có hiệu lực từ 01/7/2026 người lao động ...: </w:t>
      </w:r>
      <w:r>
        <w:rPr>
          <w:rFonts w:ascii="Times New Roman" w:hAnsi="Times New Roman"/>
          <w:i/>
          <w:color w:val="0284C7"/>
          <w:sz w:val="20"/>
        </w:rPr>
        <w:t>https://thuvienphapluat.vn/banan/tin-tuc/tong-hop-nhung-chinh-sach-moi-co-hieu-luc-tu-0172026-nguoi-lao-dong-va-nguoi-su-dung-lao-dong-can-n-50189.html</w:t>
      </w:r>
    </w:p>
    <w:p>
      <w:pPr>
        <w:ind w:left="360"/>
      </w:pPr>
      <w:r>
        <w:rPr>
          <w:rFonts w:ascii="Times New Roman" w:hAnsi="Times New Roman"/>
          <w:b/>
          <w:sz w:val="20"/>
        </w:rPr>
        <w:t xml:space="preserve">- 9 điểm mới quan trọng về thuế TNCN từ ngày 01/7/2026 theo Luật Thuế ...: </w:t>
      </w:r>
      <w:r>
        <w:rPr>
          <w:rFonts w:ascii="Times New Roman" w:hAnsi="Times New Roman"/>
          <w:i/>
          <w:color w:val="0284C7"/>
          <w:sz w:val="20"/>
        </w:rPr>
        <w:t>https://thuvienphapluat.vn/ma-so-thue/phap-luat-thue/9-diem-moi-quan-trong-ve-thue-tncn-tu-ngay-0172026-theo-luat-thue-tncn-2025-nghi-dinh-2532026ndcp-v-227962.html</w:t>
      </w:r>
    </w:p>
    <w:p>
      <w:pPr>
        <w:ind w:left="360"/>
      </w:pPr>
      <w:r>
        <w:rPr>
          <w:rFonts w:ascii="Times New Roman" w:hAnsi="Times New Roman"/>
          <w:b/>
          <w:sz w:val="20"/>
        </w:rPr>
        <w:t xml:space="preserve">- Chính sách mới - Báo Điện tử Chính phủ - Thông tin chính thống của ...: </w:t>
      </w:r>
      <w:r>
        <w:rPr>
          <w:rFonts w:ascii="Times New Roman" w:hAnsi="Times New Roman"/>
          <w:i/>
          <w:color w:val="0284C7"/>
          <w:sz w:val="20"/>
        </w:rPr>
        <w:t>https://baochinhphu.vn/chinh-sach-va-cuoc-song/chinh-sach-moi.htm</w:t>
      </w:r>
    </w:p>
    <w:p>
      <w:pPr>
        <w:ind w:left="360"/>
      </w:pPr>
      <w:r>
        <w:rPr>
          <w:rFonts w:ascii="Times New Roman" w:hAnsi="Times New Roman"/>
          <w:b/>
          <w:sz w:val="20"/>
        </w:rPr>
        <w:t xml:space="preserve">- Luật Thuế TNCN mới nhất 2026 và văn bản hướng dẫn: </w:t>
      </w:r>
      <w:r>
        <w:rPr>
          <w:rFonts w:ascii="Times New Roman" w:hAnsi="Times New Roman"/>
          <w:i/>
          <w:color w:val="0284C7"/>
          <w:sz w:val="20"/>
        </w:rPr>
        <w:t>https://luatvietnam.vn/thue-phi-le-phi/tong-hop-van-ban-huong-dan-ve-thue-tncn-moi-nhat-565-96172-article.html</w:t>
      </w:r>
    </w:p>
    <w:p>
      <w:pPr>
        <w:ind w:left="360"/>
      </w:pPr>
      <w:r>
        <w:rPr>
          <w:rFonts w:ascii="Times New Roman" w:hAnsi="Times New Roman"/>
          <w:b/>
          <w:sz w:val="20"/>
        </w:rPr>
        <w:t xml:space="preserve">- Tin Tức mới nhất về Chính sách, Thông tin Chính sách được cập nhật liên ...: </w:t>
      </w:r>
      <w:r>
        <w:rPr>
          <w:rFonts w:ascii="Times New Roman" w:hAnsi="Times New Roman"/>
          <w:i/>
          <w:color w:val="0284C7"/>
          <w:sz w:val="20"/>
        </w:rPr>
        <w:t>https://dantri.com.vn/noi-vu/chinh-sach.htm</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