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Mapeamento de fontes – DV2 CIPLA</w:t>
      </w:r>
    </w:p>
    <w:p>
      <w:pPr>
        <w:spacing w:after="80"/>
      </w:pPr>
      <w:r>
        <w:rPr>
          <w:i/>
          <w:iCs/>
        </w:rPr>
        <w:t xml:space="preserve">Classificação dos fontes customizados por escopo funcional.</w:t>
      </w:r>
    </w:p>
    <w:p>
      <w:pPr>
        <w:pStyle w:val="Heading1"/>
        <w:spacing w:after="120" w:before="300"/>
      </w:pPr>
      <w:r>
        <w:t xml:space="preserve">Escopo Funcional (35) – Status do fornecedor (A2_MSBLQL) com senha e log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 fonte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macro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PE_MATA020.prw (CUSTOMERVENDOR)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entrada MVC do cadastro de fornecedores (MATA020). Ao alterar um fornecedor, compara o valor antigo com o novo dos campos sensíveis definidos no parâmetro CP_AUDFOR (padrão: A2_MSBLQL|A2_XSTATU). Se algum mudou, abre a assinatura eletrônica e só deixa gravar se ela for validada.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Detectar a mudança de status e exigir a confirmação com senha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CI02A001.tlpp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Versão anterior da tela que pedia senha, chave e justificativa para alterar campos sensíveis do SA2. Nenhum fonte chama esta função: o PE passou a usar a classe ZZ1AssinaEletronica.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Confirmação com senha (legado, sem uso)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CI02A003.tlpp (ZZ1AssinaEletronica)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Classe genérica de assinatura eletrônica. Mostra a lista de alterações e pede justificativa, senha de login e chave (parâmetro FS_xxx). Valida tudo e grava a auditoria na ZZ1.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Tela de senha e motor de assinatura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CI02A002.tlpp (ZZ1GravaLog)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Grava um registro de auditoria na ZZ1: rotina, tabela, chave, campo, valor anterior, valor novo, justificativa, usuário, data e hora.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Tabela de log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CI02A004.prw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 MVC da ZZ1, só com a opção Visualizar.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Tela de consulta do log</w:t>
            </w:r>
          </w:p>
        </w:tc>
      </w:tr>
    </w:tbl>
    <w:p>
      <w:pPr>
        <w:spacing w:after="60" w:before="160"/>
      </w:pPr>
      <w:r>
        <w:rPr>
          <w:b/>
          <w:bCs/>
          <w:color w:val="C55A11"/>
        </w:rPr>
        <w:t xml:space="preserve">Não encontrado nos fontes:</w:t>
      </w:r>
    </w:p>
    <w:p>
      <w:pPr>
        <w:pStyle w:val="ListParagraph"/>
        <w:numPr>
          <w:ilvl w:val="0"/>
          <w:numId w:val="2"/>
        </w:numPr>
      </w:pPr>
      <w:r>
        <w:t xml:space="preserve">A regra que liga o A2_XSTATU ao A2_MSBLQL: "Desqualificado" bloqueia o fornecedor, "Não requerido" libera a edição. Se foi feita por gatilho ou X3_WHEN no dicionário, não aparece no código.</w:t>
      </w:r>
    </w:p>
    <w:p>
      <w:pPr>
        <w:pStyle w:val="ListParagraph"/>
        <w:numPr>
          <w:ilvl w:val="0"/>
          <w:numId w:val="2"/>
        </w:numPr>
      </w:pPr>
      <w:r>
        <w:t xml:space="preserve">A criação do campo A2_XSTATU com as opções Qualificado, Desqualificado e Em acompanhamento (fica no dicionário).</w:t>
      </w:r>
    </w:p>
    <w:p>
      <w:pPr>
        <w:pStyle w:val="Heading1"/>
        <w:spacing w:after="120" w:before="300"/>
      </w:pPr>
      <w:r>
        <w:t xml:space="preserve">Escopo Funcional (45) – Transferência entre armazéns restritos e liberação do CQ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 fonte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macro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A261TOK.prw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entrada da transferência modelo II (MATA261). Exige justificativa e senha antes de confirmar e grava o log de todos os itens na ZZ2. Quando a execução é automática, grava o log sem abrir a tela.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Assinatura eletrônica na transferência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MT175ATU.prw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entrada da liberação, rejeição e estorno do CQ (MATA175), que cobre o caso "Quarentena → Aprovado". Exige justificativa e senha e grava na ZZ2 só as linhas novas, com o tipo do movimento.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Assinatura eletrônica na movimentação do CQ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CI04A003.tlpp (ZZ2AssinaEletronica)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Classe de assinatura eletrônica com justificativa e senha (sem chave) para as transferências. Valida a senha e grava o log de cada item.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Tela de senha e motor de assinatura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CI04A002.tlpp (ZZ2GravaLog)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Grava a auditoria na ZZ2: documento, produto, quantidade, armazém de origem e de destino, justificativa, origem, usuário, data e hora.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Tabela de log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CI04A001.prw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 MVC da ZZ2, com legenda por origem (manual ou automático).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Tela de consulta do log</w:t>
            </w:r>
          </w:p>
        </w:tc>
      </w:tr>
    </w:tbl>
    <w:p>
      <w:pPr>
        <w:spacing w:after="60" w:before="160"/>
      </w:pPr>
      <w:r>
        <w:rPr>
          <w:b/>
          <w:bCs/>
          <w:color w:val="C55A11"/>
        </w:rPr>
        <w:t xml:space="preserve">Não encontrado nos fontes:</w:t>
      </w:r>
    </w:p>
    <w:p>
      <w:pPr>
        <w:pStyle w:val="ListParagraph"/>
        <w:numPr>
          <w:ilvl w:val="0"/>
          <w:numId w:val="2"/>
        </w:numPr>
      </w:pPr>
      <w:r>
        <w:t xml:space="preserve">O bloqueio para quem não pertence ao grupo "Garantia da Qualidade".</w:t>
      </w:r>
    </w:p>
    <w:p>
      <w:pPr>
        <w:pStyle w:val="ListParagraph"/>
        <w:numPr>
          <w:ilvl w:val="0"/>
          <w:numId w:val="2"/>
        </w:numPr>
      </w:pPr>
      <w:r>
        <w:t xml:space="preserve">O filtro por armazéns restritos. Hoje o A261TOK pede a senha em toda transferência, qualquer que seja o armazém.</w:t>
      </w:r>
    </w:p>
    <w:p>
      <w:pPr>
        <w:pStyle w:val="Heading1"/>
        <w:spacing w:after="120" w:before="300"/>
      </w:pPr>
      <w:r>
        <w:t xml:space="preserve">Escopo Funcional (30) – FEFO no pedido e documento de saída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 fonte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macro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MT410TOK.tlpp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entrada do pedido de venda (MATA410), executado no Salvar. Para itens já gravados que tiveram o lote (C6_LOTECTL) trocado, compara a validade do novo lote com a menor validade disponível na SB8 para o mesmo produto e armazém. Se houve quebra de FEFO, abre uma única tela de justificativa e senha (ZZ1AssinaEletronica) e grava o log na ZZ1.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Validação de FEFO com justificativa e senha</w:t>
            </w:r>
          </w:p>
        </w:tc>
      </w:tr>
    </w:tbl>
    <w:p>
      <w:pPr>
        <w:spacing w:after="60" w:before="160"/>
      </w:pPr>
      <w:r>
        <w:rPr>
          <w:b/>
          <w:bCs/>
          <w:color w:val="C55A11"/>
        </w:rPr>
        <w:t xml:space="preserve">Observações:</w:t>
      </w:r>
    </w:p>
    <w:p>
      <w:pPr>
        <w:pStyle w:val="ListParagraph"/>
        <w:numPr>
          <w:ilvl w:val="0"/>
          <w:numId w:val="2"/>
        </w:numPr>
      </w:pPr>
      <w:r>
        <w:t xml:space="preserve">A regra só vale para a alteração de lote em itens já existentes. Linhas novas, na inclusão do pedido, não passam pela validação.</w:t>
      </w:r>
    </w:p>
    <w:p>
      <w:pPr>
        <w:pStyle w:val="ListParagraph"/>
        <w:numPr>
          <w:ilvl w:val="0"/>
          <w:numId w:val="2"/>
        </w:numPr>
      </w:pPr>
      <w:r>
        <w:t xml:space="preserve">Não há tratamento no documento de saída (MATA460 ou MATA410 na geração da NF).</w:t>
      </w:r>
    </w:p>
    <w:p>
      <w:pPr>
        <w:pStyle w:val="ListParagraph"/>
        <w:numPr>
          <w:ilvl w:val="0"/>
          <w:numId w:val="2"/>
        </w:numPr>
      </w:pPr>
      <w:r>
        <w:t xml:space="preserve">O fonte está na pasta SIGACOM, mas é do Faturamento.</w:t>
      </w:r>
    </w:p>
    <w:p>
      <w:pPr>
        <w:pStyle w:val="Heading1"/>
        <w:spacing w:after="120" w:before="300"/>
      </w:pPr>
      <w:r>
        <w:t xml:space="preserve">Escopo Funcional (35) – Relatório de balanço de estoque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 fonte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macro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CI04R001.prw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Relatório TReport de balanço de reagentes controlados (MIT041), por filial, produto, lote e armazém. Colunas: Saldo Inicial, Compras/Entradas, Consumo, Perdas/Transferências e Saldo Final. Também traz dados regulatórios: órgão fiscalizador (PF, Exército, Polícia Civil, ANVISA), CAS, FDS e limite de estoque. Filtros obrigatórios validados: Período, Produto/Reagente, Validade, além de Filial, Grupo e Órgãos.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Relatório de balanço de estoque</w:t>
            </w:r>
          </w:p>
        </w:tc>
      </w:tr>
    </w:tbl>
    <w:p>
      <w:pPr>
        <w:pStyle w:val="Heading1"/>
        <w:spacing w:after="120" w:before="300"/>
      </w:pPr>
      <w:r>
        <w:t xml:space="preserve">Fora dos escopos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 fonte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macro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MDIOk.tlpp</w:t>
            </w:r>
          </w:p>
        </w:tc>
        <w:tc>
          <w:tcPr>
            <w:tcW w:type="dxa" w:w="7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entrada MDIOk: liga o atalho Ctrl+F12 para executar qualquer função por nome (U_PXRUNPRG). Ferramenta de desenvolvimento, sem relação com os escopos.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Utilitário de desenvolvimento</w:t>
            </w:r>
          </w:p>
        </w:tc>
      </w:tr>
    </w:tbl>
    <w:sectPr>
      <w:pgSz w:w="16838" w:h="11906" w:orient="landscape"/>
      <w:pgMar w:top="1000" w:right="1400" w:bottom="10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2026-10-13T17:16:45.406Z</dcterms:created>
  <dcterms:modified xsi:type="dcterms:W3CDTF">2026-10-13T17:16:45.408Z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