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111B" w14:textId="10F78F76" w:rsidR="009246AD" w:rsidRDefault="00E80056" w:rsidP="00AB34C5">
      <w:pPr>
        <w:pStyle w:val="BATitle"/>
        <w:jc w:val="left"/>
      </w:pPr>
      <w:r>
        <w:t>Detecting Plumes in Mobile Monitoring Time Series with Density-based Spatial Clustering of Applications with Noise</w:t>
      </w:r>
    </w:p>
    <w:p w14:paraId="32B0A24C" w14:textId="77777777" w:rsidR="009C46AB" w:rsidRDefault="009C46AB" w:rsidP="009C46AB">
      <w:pPr>
        <w:pStyle w:val="BBAuthorName"/>
        <w:jc w:val="both"/>
        <w:rPr>
          <w:i w:val="0"/>
        </w:rPr>
      </w:pPr>
      <w:r>
        <w:rPr>
          <w:i w:val="0"/>
        </w:rPr>
        <w:t>Blake Actkinson</w:t>
      </w:r>
      <w:r>
        <w:rPr>
          <w:i w:val="0"/>
          <w:vertAlign w:val="superscript"/>
        </w:rPr>
        <w:t>1</w:t>
      </w:r>
      <w:r>
        <w:rPr>
          <w:i w:val="0"/>
        </w:rPr>
        <w:t>, Katherine Ensor</w:t>
      </w:r>
      <w:r>
        <w:rPr>
          <w:i w:val="0"/>
          <w:vertAlign w:val="superscript"/>
        </w:rPr>
        <w:t>2</w:t>
      </w:r>
      <w:r>
        <w:rPr>
          <w:i w:val="0"/>
        </w:rPr>
        <w:t>, Robert J. Griffin</w:t>
      </w:r>
      <w:r>
        <w:rPr>
          <w:i w:val="0"/>
          <w:vertAlign w:val="superscript"/>
        </w:rPr>
        <w:t>3*</w:t>
      </w:r>
    </w:p>
    <w:p w14:paraId="3D4F0F82" w14:textId="77777777" w:rsidR="009C46AB" w:rsidRDefault="009C46AB" w:rsidP="009C46AB">
      <w:pPr>
        <w:pStyle w:val="BCAuthorAddress"/>
        <w:jc w:val="left"/>
      </w:pPr>
      <w:r>
        <w:rPr>
          <w:vertAlign w:val="superscript"/>
        </w:rPr>
        <w:t>1</w:t>
      </w:r>
      <w:r>
        <w:t>Department of Civil and Environmental Engineering, Rice University, Houston, TX 77005, USA</w:t>
      </w:r>
    </w:p>
    <w:p w14:paraId="1D12B629" w14:textId="77777777" w:rsidR="009C46AB" w:rsidRDefault="009C46AB" w:rsidP="009C46AB">
      <w:pPr>
        <w:pStyle w:val="BCAuthorAddress"/>
        <w:jc w:val="left"/>
      </w:pPr>
      <w:r>
        <w:rPr>
          <w:vertAlign w:val="superscript"/>
        </w:rPr>
        <w:t>2</w:t>
      </w:r>
      <w:r>
        <w:t>Department of Statistics, Rice University, Houston, TX 77005, USA</w:t>
      </w:r>
    </w:p>
    <w:p w14:paraId="71E304C1" w14:textId="77777777" w:rsidR="009C46AB" w:rsidRPr="00DE024F" w:rsidRDefault="009C46AB" w:rsidP="009C46AB">
      <w:pPr>
        <w:pStyle w:val="BCAuthorAddress"/>
        <w:jc w:val="left"/>
      </w:pPr>
      <w:r>
        <w:rPr>
          <w:vertAlign w:val="superscript"/>
        </w:rPr>
        <w:t>3</w:t>
      </w:r>
      <w:r>
        <w:t xml:space="preserve">School of Engineering, Computing, and Construction Management, Roger Williams University, Bristol, RI 02809, USA </w:t>
      </w:r>
    </w:p>
    <w:p w14:paraId="2D3A535B" w14:textId="77777777" w:rsidR="009C46AB" w:rsidRDefault="009C46AB" w:rsidP="009C46AB">
      <w:pPr>
        <w:pStyle w:val="FACorrespondingAuthorFootnote"/>
        <w:spacing w:after="0"/>
        <w:jc w:val="left"/>
        <w:rPr>
          <w:i/>
          <w:iCs/>
        </w:rPr>
      </w:pPr>
      <w:r>
        <w:t xml:space="preserve">*Corresponding Author: Robert Griffin, </w:t>
      </w:r>
      <w:r>
        <w:rPr>
          <w:i/>
          <w:iCs/>
        </w:rPr>
        <w:t xml:space="preserve">E-mail: </w:t>
      </w:r>
      <w:hyperlink r:id="rId7" w:history="1">
        <w:r w:rsidRPr="00696EBF">
          <w:rPr>
            <w:rStyle w:val="Hyperlink"/>
            <w:i/>
            <w:iCs/>
          </w:rPr>
          <w:t>rgriffin@rwu.edu</w:t>
        </w:r>
      </w:hyperlink>
    </w:p>
    <w:p w14:paraId="6B56F7CF" w14:textId="5AB5BADF" w:rsidR="000C05CC" w:rsidRDefault="000C05CC" w:rsidP="00324128">
      <w:pPr>
        <w:pStyle w:val="FACorrespondingAuthorFootnote"/>
        <w:spacing w:after="240"/>
        <w:jc w:val="left"/>
      </w:pPr>
    </w:p>
    <w:p w14:paraId="08CEDB33" w14:textId="5604254E" w:rsidR="009C46AB" w:rsidRDefault="009C46AB" w:rsidP="009C46AB">
      <w:pPr>
        <w:pStyle w:val="TAMainText"/>
      </w:pPr>
    </w:p>
    <w:p w14:paraId="78181612" w14:textId="65B9411A" w:rsidR="009C46AB" w:rsidRDefault="009C46AB" w:rsidP="009C46AB">
      <w:pPr>
        <w:pStyle w:val="TAMainText"/>
      </w:pPr>
    </w:p>
    <w:p w14:paraId="67373788" w14:textId="0F1A034A" w:rsidR="009C46AB" w:rsidRDefault="00A63C5F" w:rsidP="00A63C5F">
      <w:pPr>
        <w:pStyle w:val="TAMainText"/>
      </w:pPr>
      <w:r>
        <w:t>Section S1. Description of temporal rescaling procedure.</w:t>
      </w:r>
    </w:p>
    <w:p w14:paraId="73FCD42B" w14:textId="2154EA3E" w:rsidR="00A63C5F" w:rsidRDefault="00A63C5F" w:rsidP="00A63C5F">
      <w:pPr>
        <w:pStyle w:val="TAMainText"/>
      </w:pPr>
      <w:r>
        <w:t>Figures S1-S5</w:t>
      </w:r>
    </w:p>
    <w:p w14:paraId="51AB18CD" w14:textId="49B7C125" w:rsidR="00A63C5F" w:rsidRPr="00A63C5F" w:rsidRDefault="00A63C5F" w:rsidP="00A63C5F">
      <w:pPr>
        <w:pStyle w:val="TAMainText"/>
      </w:pPr>
      <w:r>
        <w:t>Tables S1-S3</w:t>
      </w:r>
    </w:p>
    <w:p w14:paraId="06CB4863" w14:textId="77777777" w:rsidR="00B36554" w:rsidRDefault="00B36554" w:rsidP="000B5610">
      <w:pPr>
        <w:pStyle w:val="TAMainText"/>
        <w:spacing w:after="240"/>
        <w:ind w:firstLine="0"/>
        <w:jc w:val="left"/>
      </w:pPr>
    </w:p>
    <w:p w14:paraId="136550E5" w14:textId="796EE21C" w:rsidR="00EF717B" w:rsidRDefault="00EF717B" w:rsidP="00EF717B">
      <w:pPr>
        <w:pStyle w:val="TAMainText"/>
        <w:spacing w:after="240"/>
        <w:ind w:firstLine="0"/>
        <w:jc w:val="left"/>
        <w:rPr>
          <w:b/>
          <w:bCs/>
        </w:rPr>
      </w:pPr>
      <w:r>
        <w:rPr>
          <w:b/>
          <w:bCs/>
        </w:rPr>
        <w:lastRenderedPageBreak/>
        <w:t xml:space="preserve">Section S1. </w:t>
      </w:r>
      <w:r w:rsidRPr="005711E4">
        <w:t>Rescaling procedure for census tract comparisons</w:t>
      </w:r>
    </w:p>
    <w:p w14:paraId="2DE533B9" w14:textId="0E89167A" w:rsidR="00EF717B" w:rsidRDefault="000833FE" w:rsidP="00EF717B">
      <w:pPr>
        <w:pStyle w:val="TAMainText"/>
      </w:pPr>
      <w:r>
        <w:t>To remove temporal effects from census tract comparisons, a rescaling procedure was implemented. The objective was to transform each census tract’s sampling distribution into a uniform distribution, then multiply each hour of the newly transformed uniform distribution by the fraction of detected anomalies in that hour.</w:t>
      </w:r>
    </w:p>
    <w:p w14:paraId="3C2FF41A" w14:textId="37B081D8" w:rsidR="000833FE" w:rsidRDefault="000833FE" w:rsidP="00EF717B">
      <w:pPr>
        <w:pStyle w:val="TAMainText"/>
      </w:pPr>
      <w:r>
        <w:t xml:space="preserve">Out of 35 census tracts in the Houston area, we constrict our analysis to 19 to ensure that each hour for every census tract between 8 AM and 3 PM, CST, had at least 1,000 samples. The lowest number of samples in any given hour for a census tract was 1,061, which equates to </w:t>
      </w:r>
      <m:oMath>
        <m:r>
          <m:rPr>
            <m:nor/>
          </m:rPr>
          <m:t>≈</m:t>
        </m:r>
      </m:oMath>
      <w:r>
        <w:t xml:space="preserve"> 17 minutes of sampling. For each census tract, we calculate the average number of samples per hour, determined by calculating the total number of samples and dividing by 8, which is the number of analyzed hours. In addition to calculating the average number of samples, we calculate for each hour in each census tract the fraction of that hour’s measurement that are of a given anomaly type (</w:t>
      </w:r>
      <w:r w:rsidR="00106AF3">
        <w:t>“CO</w:t>
      </w:r>
      <w:r w:rsidR="00106AF3">
        <w:rPr>
          <w:vertAlign w:val="subscript"/>
        </w:rPr>
        <w:t>2</w:t>
      </w:r>
      <w:r w:rsidR="00106AF3">
        <w:t xml:space="preserve"> – Rich”, “Transition”, “BC/UFP – Rich”). In the final step, we multiply the hourly fraction of each anomaly type by the average number of measurements for the census </w:t>
      </w:r>
      <w:proofErr w:type="gramStart"/>
      <w:r w:rsidR="00106AF3">
        <w:t>tract, and</w:t>
      </w:r>
      <w:proofErr w:type="gramEnd"/>
      <w:r w:rsidR="00106AF3">
        <w:t xml:space="preserve"> sum the results. To determine the % probability of detection for a given anomaly type, we divide these weighted totals by the number of measurements made within the census tract.</w:t>
      </w:r>
    </w:p>
    <w:p w14:paraId="097217C9" w14:textId="7E676A65" w:rsidR="00106AF3" w:rsidRPr="00106AF3" w:rsidRDefault="00106AF3" w:rsidP="00EF717B">
      <w:pPr>
        <w:pStyle w:val="TAMainText"/>
      </w:pPr>
      <w:r>
        <w:t>Figure</w:t>
      </w:r>
      <w:r w:rsidR="00E805D9">
        <w:t>s</w:t>
      </w:r>
      <w:r>
        <w:t xml:space="preserve"> S</w:t>
      </w:r>
      <w:r w:rsidR="00E805D9">
        <w:t>1 and S2</w:t>
      </w:r>
      <w:r>
        <w:t xml:space="preserve"> display </w:t>
      </w:r>
      <w:r w:rsidR="00E805D9">
        <w:t>the effects of implementing the rescaling procedure on the calculated probabilities of anomaly detection for the 19 census tracts. In general, we note that implementing the rescaling procedure results in modest increases in these probabilities across the board. A notable exception is the North Rice polygon for CO</w:t>
      </w:r>
      <w:r w:rsidR="00E805D9">
        <w:rPr>
          <w:vertAlign w:val="subscript"/>
        </w:rPr>
        <w:t>2</w:t>
      </w:r>
      <w:r w:rsidR="00E805D9">
        <w:t xml:space="preserve"> anomaly detections. Figure S3 displays the </w:t>
      </w:r>
      <w:r w:rsidR="005711E4">
        <w:t xml:space="preserve">(a) total </w:t>
      </w:r>
      <w:r w:rsidR="00E805D9">
        <w:t>sampling distribution</w:t>
      </w:r>
      <w:r w:rsidR="005711E4">
        <w:t xml:space="preserve"> and (b) anomaly sampling distribution</w:t>
      </w:r>
      <w:r w:rsidR="00E805D9">
        <w:t xml:space="preserve"> for the North Rice polygon. We note that the 8 AM hour was oversampled relative to other hours sampled</w:t>
      </w:r>
      <w:r w:rsidR="005711E4">
        <w:t xml:space="preserve"> </w:t>
      </w:r>
      <w:r w:rsidR="00E805D9">
        <w:t xml:space="preserve">and argue that </w:t>
      </w:r>
      <w:r w:rsidR="00E805D9">
        <w:lastRenderedPageBreak/>
        <w:t xml:space="preserve">implementing the rescaling procedure decreases the effects of this hour relative to other sampling times in the census tract. </w:t>
      </w:r>
    </w:p>
    <w:p w14:paraId="4A1AF90A" w14:textId="77777777" w:rsidR="00EF717B" w:rsidRDefault="00EF717B" w:rsidP="00B36554">
      <w:pPr>
        <w:pStyle w:val="VDTableTitle"/>
        <w:rPr>
          <w:b/>
          <w:bCs/>
        </w:rPr>
      </w:pPr>
    </w:p>
    <w:p w14:paraId="143B4BF5" w14:textId="77777777" w:rsidR="00EF717B" w:rsidRDefault="00EF717B" w:rsidP="00B36554">
      <w:pPr>
        <w:pStyle w:val="VDTableTitle"/>
        <w:rPr>
          <w:b/>
          <w:bCs/>
        </w:rPr>
      </w:pPr>
    </w:p>
    <w:p w14:paraId="36C59C6B" w14:textId="77777777" w:rsidR="00EF717B" w:rsidRDefault="00EF717B" w:rsidP="00B36554">
      <w:pPr>
        <w:pStyle w:val="VDTableTitle"/>
        <w:rPr>
          <w:b/>
          <w:bCs/>
        </w:rPr>
      </w:pPr>
    </w:p>
    <w:p w14:paraId="255BAA96" w14:textId="77777777" w:rsidR="00EF717B" w:rsidRDefault="00EF717B" w:rsidP="00B36554">
      <w:pPr>
        <w:pStyle w:val="VDTableTitle"/>
        <w:rPr>
          <w:b/>
          <w:bCs/>
        </w:rPr>
      </w:pPr>
    </w:p>
    <w:p w14:paraId="0D71E9ED" w14:textId="77777777" w:rsidR="00EF717B" w:rsidRDefault="00EF717B" w:rsidP="00B36554">
      <w:pPr>
        <w:pStyle w:val="VDTableTitle"/>
        <w:rPr>
          <w:b/>
          <w:bCs/>
        </w:rPr>
      </w:pPr>
    </w:p>
    <w:p w14:paraId="57E7A912" w14:textId="77777777" w:rsidR="00EF717B" w:rsidRDefault="00EF717B" w:rsidP="00B36554">
      <w:pPr>
        <w:pStyle w:val="VDTableTitle"/>
        <w:rPr>
          <w:b/>
          <w:bCs/>
        </w:rPr>
      </w:pPr>
    </w:p>
    <w:p w14:paraId="7EDEEECD" w14:textId="77777777" w:rsidR="00EF717B" w:rsidRDefault="00EF717B" w:rsidP="00B36554">
      <w:pPr>
        <w:pStyle w:val="VDTableTitle"/>
        <w:rPr>
          <w:b/>
          <w:bCs/>
        </w:rPr>
      </w:pPr>
    </w:p>
    <w:p w14:paraId="717C572B" w14:textId="77777777" w:rsidR="00EF717B" w:rsidRDefault="00EF717B" w:rsidP="00B36554">
      <w:pPr>
        <w:pStyle w:val="VDTableTitle"/>
        <w:rPr>
          <w:b/>
          <w:bCs/>
        </w:rPr>
      </w:pPr>
    </w:p>
    <w:p w14:paraId="72047C5E" w14:textId="77777777" w:rsidR="00EF717B" w:rsidRDefault="00EF717B" w:rsidP="00B36554">
      <w:pPr>
        <w:pStyle w:val="VDTableTitle"/>
        <w:rPr>
          <w:b/>
          <w:bCs/>
        </w:rPr>
      </w:pPr>
    </w:p>
    <w:p w14:paraId="517F3740" w14:textId="77777777" w:rsidR="00EF717B" w:rsidRDefault="00EF717B" w:rsidP="00B36554">
      <w:pPr>
        <w:pStyle w:val="VDTableTitle"/>
        <w:rPr>
          <w:b/>
          <w:bCs/>
        </w:rPr>
      </w:pPr>
    </w:p>
    <w:p w14:paraId="0A960237" w14:textId="77777777" w:rsidR="00EF717B" w:rsidRDefault="00EF717B" w:rsidP="00B36554">
      <w:pPr>
        <w:pStyle w:val="VDTableTitle"/>
        <w:rPr>
          <w:b/>
          <w:bCs/>
        </w:rPr>
      </w:pPr>
    </w:p>
    <w:p w14:paraId="6F851023" w14:textId="77777777" w:rsidR="00EF717B" w:rsidRDefault="00EF717B" w:rsidP="00B36554">
      <w:pPr>
        <w:pStyle w:val="VDTableTitle"/>
        <w:rPr>
          <w:b/>
          <w:bCs/>
        </w:rPr>
      </w:pPr>
    </w:p>
    <w:p w14:paraId="6E717C05" w14:textId="77777777" w:rsidR="00EF717B" w:rsidRDefault="00EF717B" w:rsidP="00B36554">
      <w:pPr>
        <w:pStyle w:val="VDTableTitle"/>
        <w:rPr>
          <w:b/>
          <w:bCs/>
        </w:rPr>
      </w:pPr>
    </w:p>
    <w:p w14:paraId="2D17D5DB" w14:textId="77777777" w:rsidR="00EF717B" w:rsidRDefault="00EF717B" w:rsidP="00B36554">
      <w:pPr>
        <w:pStyle w:val="VDTableTitle"/>
        <w:rPr>
          <w:b/>
          <w:bCs/>
        </w:rPr>
      </w:pPr>
    </w:p>
    <w:p w14:paraId="209BE847" w14:textId="77777777" w:rsidR="00EF717B" w:rsidRDefault="00EF717B" w:rsidP="00B36554">
      <w:pPr>
        <w:pStyle w:val="VDTableTitle"/>
        <w:rPr>
          <w:b/>
          <w:bCs/>
        </w:rPr>
      </w:pPr>
    </w:p>
    <w:p w14:paraId="5CE42638" w14:textId="77777777" w:rsidR="00EF717B" w:rsidRDefault="00EF717B" w:rsidP="00B36554">
      <w:pPr>
        <w:pStyle w:val="VDTableTitle"/>
        <w:rPr>
          <w:b/>
          <w:bCs/>
        </w:rPr>
      </w:pPr>
    </w:p>
    <w:p w14:paraId="1F84E19A" w14:textId="4E675E30" w:rsidR="005711E4" w:rsidRDefault="005711E4" w:rsidP="005711E4">
      <w:pPr>
        <w:pStyle w:val="VAFigureCaption"/>
      </w:pPr>
      <w:r>
        <w:rPr>
          <w:noProof/>
        </w:rPr>
        <w:lastRenderedPageBreak/>
        <w:drawing>
          <wp:inline distT="0" distB="0" distL="0" distR="0" wp14:anchorId="2EF9E6F2" wp14:editId="08D4FC65">
            <wp:extent cx="5943600" cy="4086225"/>
            <wp:effectExtent l="0" t="0" r="0"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0E7E6EBC" w14:textId="55A8CC04" w:rsidR="005711E4" w:rsidRDefault="005711E4" w:rsidP="005711E4">
      <w:pPr>
        <w:pStyle w:val="VAFigureCaption"/>
      </w:pPr>
      <w:r w:rsidRPr="005711E4">
        <w:rPr>
          <w:b/>
          <w:bCs/>
        </w:rPr>
        <w:t>Figure S1.</w:t>
      </w:r>
      <w:r>
        <w:t xml:space="preserve"> Effects of scaling on the probability of CO</w:t>
      </w:r>
      <w:r>
        <w:rPr>
          <w:vertAlign w:val="subscript"/>
        </w:rPr>
        <w:t>2</w:t>
      </w:r>
      <w:r>
        <w:t xml:space="preserve"> anomaly type detection for each census tract.</w:t>
      </w:r>
    </w:p>
    <w:p w14:paraId="47A79F54" w14:textId="43D5A8EA" w:rsidR="005711E4" w:rsidRDefault="005711E4" w:rsidP="005711E4"/>
    <w:p w14:paraId="76BDE428" w14:textId="7D8D2CA5" w:rsidR="005711E4" w:rsidRDefault="005711E4" w:rsidP="005711E4"/>
    <w:p w14:paraId="2BF6C475" w14:textId="2E39E18F" w:rsidR="005711E4" w:rsidRDefault="005711E4" w:rsidP="005711E4"/>
    <w:p w14:paraId="7D8F0097" w14:textId="4455FFDD" w:rsidR="005711E4" w:rsidRDefault="005711E4" w:rsidP="005711E4"/>
    <w:p w14:paraId="32459787" w14:textId="35A8B9E1" w:rsidR="005711E4" w:rsidRDefault="005711E4" w:rsidP="005711E4"/>
    <w:p w14:paraId="24EFB80B" w14:textId="09CDFB17" w:rsidR="005711E4" w:rsidRDefault="005711E4" w:rsidP="005711E4"/>
    <w:p w14:paraId="3E265522" w14:textId="4A268C89" w:rsidR="005711E4" w:rsidRDefault="005711E4" w:rsidP="005711E4"/>
    <w:p w14:paraId="43EA494C" w14:textId="75EA634C" w:rsidR="005711E4" w:rsidRDefault="005711E4" w:rsidP="005711E4"/>
    <w:p w14:paraId="3BF0429C" w14:textId="2C6BF701" w:rsidR="005711E4" w:rsidRDefault="005711E4" w:rsidP="005711E4"/>
    <w:p w14:paraId="44EFA3E6" w14:textId="0246BA57" w:rsidR="005711E4" w:rsidRDefault="005711E4" w:rsidP="005711E4"/>
    <w:p w14:paraId="6E67457D" w14:textId="56B4A895" w:rsidR="005711E4" w:rsidRPr="005711E4" w:rsidRDefault="005711E4" w:rsidP="005711E4">
      <w:r>
        <w:rPr>
          <w:noProof/>
        </w:rPr>
        <w:lastRenderedPageBreak/>
        <w:drawing>
          <wp:inline distT="0" distB="0" distL="0" distR="0" wp14:anchorId="6BB43D02" wp14:editId="6607EA9B">
            <wp:extent cx="5943600" cy="4086225"/>
            <wp:effectExtent l="0" t="0" r="0"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13E70ED5" w14:textId="0C847D81" w:rsidR="005711E4" w:rsidRPr="00A63C5F" w:rsidRDefault="00A63C5F" w:rsidP="00A63C5F">
      <w:pPr>
        <w:pStyle w:val="VAFigureCaption"/>
        <w:rPr>
          <w:b/>
          <w:bCs/>
        </w:rPr>
      </w:pPr>
      <w:r>
        <w:rPr>
          <w:b/>
          <w:bCs/>
        </w:rPr>
        <w:t xml:space="preserve">Figure S2. </w:t>
      </w:r>
      <w:r w:rsidRPr="00A63C5F">
        <w:t>Effects of rescaling on probability of BC/UFP anomaly type detection for each census tract.</w:t>
      </w:r>
    </w:p>
    <w:p w14:paraId="37135ADF" w14:textId="77777777" w:rsidR="005711E4" w:rsidRDefault="005711E4" w:rsidP="00B36554">
      <w:pPr>
        <w:pStyle w:val="VDTableTitle"/>
        <w:rPr>
          <w:b/>
          <w:bCs/>
        </w:rPr>
      </w:pPr>
    </w:p>
    <w:p w14:paraId="4517AF3C" w14:textId="44753735" w:rsidR="005711E4" w:rsidRDefault="005711E4" w:rsidP="00B36554">
      <w:pPr>
        <w:pStyle w:val="VDTableTitle"/>
        <w:rPr>
          <w:b/>
          <w:bCs/>
        </w:rPr>
      </w:pPr>
    </w:p>
    <w:p w14:paraId="5FD3D59A" w14:textId="2532F502" w:rsidR="00A63C5F" w:rsidRDefault="00A63C5F" w:rsidP="00A63C5F"/>
    <w:p w14:paraId="2EEE2252" w14:textId="1E4B2EC1" w:rsidR="00A63C5F" w:rsidRDefault="00A63C5F" w:rsidP="00A63C5F"/>
    <w:p w14:paraId="454D7403" w14:textId="5A575455" w:rsidR="00A63C5F" w:rsidRDefault="00A63C5F" w:rsidP="00A63C5F"/>
    <w:p w14:paraId="634B2C66" w14:textId="32D15018" w:rsidR="00A63C5F" w:rsidRDefault="00A63C5F" w:rsidP="00A63C5F"/>
    <w:p w14:paraId="22FA7E37" w14:textId="3DACBDE9" w:rsidR="00A63C5F" w:rsidRDefault="00A63C5F" w:rsidP="00A63C5F"/>
    <w:p w14:paraId="26FE664B" w14:textId="3D446A87" w:rsidR="00A63C5F" w:rsidRDefault="00A63C5F" w:rsidP="00A63C5F"/>
    <w:p w14:paraId="04B793F7" w14:textId="76286AE1" w:rsidR="00A63C5F" w:rsidRDefault="00A63C5F" w:rsidP="00A63C5F"/>
    <w:p w14:paraId="07991E4C" w14:textId="2611C51B" w:rsidR="00A63C5F" w:rsidRDefault="00A63C5F" w:rsidP="00A63C5F">
      <w:r>
        <w:rPr>
          <w:noProof/>
        </w:rPr>
        <w:lastRenderedPageBreak/>
        <w:drawing>
          <wp:inline distT="0" distB="0" distL="0" distR="0" wp14:anchorId="12C36E7C" wp14:editId="77C8C6F7">
            <wp:extent cx="5943600" cy="59436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A4CAB70" w14:textId="49355429" w:rsidR="00A63C5F" w:rsidRDefault="00A63C5F" w:rsidP="00A63C5F">
      <w:pPr>
        <w:pStyle w:val="VAFigureCaption"/>
      </w:pPr>
      <w:r>
        <w:rPr>
          <w:b/>
          <w:bCs/>
        </w:rPr>
        <w:t xml:space="preserve">Figure S3. </w:t>
      </w:r>
      <w:r w:rsidRPr="00A63C5F">
        <w:t>Sampling distributions for (a) all measurements and (b) anomalies in the North Rice census tract.</w:t>
      </w:r>
    </w:p>
    <w:p w14:paraId="1DEA7E77" w14:textId="7605838A" w:rsidR="00A63C5F" w:rsidRDefault="00A63C5F" w:rsidP="00A63C5F"/>
    <w:p w14:paraId="4C943DFE" w14:textId="1393F527" w:rsidR="00A63C5F" w:rsidRDefault="00A63C5F" w:rsidP="00A63C5F"/>
    <w:p w14:paraId="2E30A43F" w14:textId="05B977A9" w:rsidR="00A63C5F" w:rsidRDefault="00A63C5F" w:rsidP="00A63C5F"/>
    <w:p w14:paraId="373041DF" w14:textId="635D253F" w:rsidR="00A63C5F" w:rsidRDefault="00A63C5F" w:rsidP="00A63C5F"/>
    <w:p w14:paraId="076AD907" w14:textId="40ED72F7" w:rsidR="00A63C5F" w:rsidRDefault="00A63C5F" w:rsidP="00A63C5F">
      <w:r>
        <w:rPr>
          <w:noProof/>
        </w:rPr>
        <w:lastRenderedPageBreak/>
        <w:drawing>
          <wp:inline distT="0" distB="0" distL="0" distR="0" wp14:anchorId="70605474" wp14:editId="01FA4298">
            <wp:extent cx="5943600" cy="4086225"/>
            <wp:effectExtent l="0" t="0" r="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12FD8C2C" w14:textId="3B4424D5" w:rsidR="00A63C5F" w:rsidRDefault="00A63C5F" w:rsidP="00A63C5F">
      <w:pPr>
        <w:pStyle w:val="VAFigureCaption"/>
        <w:rPr>
          <w:b/>
          <w:bCs/>
        </w:rPr>
      </w:pPr>
      <w:r>
        <w:rPr>
          <w:b/>
          <w:bCs/>
        </w:rPr>
        <w:t>Figure S</w:t>
      </w:r>
      <w:r>
        <w:rPr>
          <w:b/>
          <w:bCs/>
        </w:rPr>
        <w:t>4</w:t>
      </w:r>
      <w:r>
        <w:rPr>
          <w:b/>
          <w:bCs/>
        </w:rPr>
        <w:t xml:space="preserve">. </w:t>
      </w:r>
      <w:r w:rsidRPr="00A63C5F">
        <w:t>Probability of detecting BC/UFP anomaly type with highways in the analysis (green) and without highways in the analysis (blue).</w:t>
      </w:r>
    </w:p>
    <w:p w14:paraId="1F7E07C6" w14:textId="5E45345A" w:rsidR="00A63C5F" w:rsidRDefault="00A63C5F" w:rsidP="00A63C5F"/>
    <w:p w14:paraId="1FF64746" w14:textId="78058CDE" w:rsidR="00A63C5F" w:rsidRDefault="00A63C5F" w:rsidP="00A63C5F"/>
    <w:p w14:paraId="07FA2892" w14:textId="7BDC644B" w:rsidR="00A63C5F" w:rsidRDefault="00A63C5F" w:rsidP="00A63C5F"/>
    <w:p w14:paraId="51009D96" w14:textId="432197E8" w:rsidR="00A63C5F" w:rsidRDefault="00A63C5F" w:rsidP="00A63C5F"/>
    <w:p w14:paraId="7ACD6676" w14:textId="09802650" w:rsidR="00A63C5F" w:rsidRDefault="00A63C5F" w:rsidP="00A63C5F"/>
    <w:p w14:paraId="144A77B9" w14:textId="3DFD8BE1" w:rsidR="00A63C5F" w:rsidRDefault="00A63C5F" w:rsidP="00A63C5F"/>
    <w:p w14:paraId="42EC136D" w14:textId="42A66BEA" w:rsidR="00A63C5F" w:rsidRDefault="00A63C5F" w:rsidP="00A63C5F"/>
    <w:p w14:paraId="0586BADD" w14:textId="19D5E9DA" w:rsidR="00A63C5F" w:rsidRDefault="00A63C5F" w:rsidP="00A63C5F"/>
    <w:p w14:paraId="3E790911" w14:textId="735D47DB" w:rsidR="00A63C5F" w:rsidRDefault="00A63C5F" w:rsidP="00A63C5F"/>
    <w:p w14:paraId="5C9A96FD" w14:textId="6C3406E2" w:rsidR="00A63C5F" w:rsidRDefault="00A63C5F" w:rsidP="00A63C5F"/>
    <w:p w14:paraId="22F902B7" w14:textId="2B6392CA" w:rsidR="00A63C5F" w:rsidRDefault="00A63C5F" w:rsidP="00A63C5F">
      <w:r>
        <w:rPr>
          <w:noProof/>
        </w:rPr>
        <w:lastRenderedPageBreak/>
        <w:drawing>
          <wp:inline distT="0" distB="0" distL="0" distR="0" wp14:anchorId="2603082E" wp14:editId="31C4C497">
            <wp:extent cx="5943600" cy="4086225"/>
            <wp:effectExtent l="0" t="0" r="0"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18C67E7D" w14:textId="6445A021" w:rsidR="00A63C5F" w:rsidRPr="00A63C5F" w:rsidRDefault="00A63C5F" w:rsidP="00A63C5F">
      <w:pPr>
        <w:pStyle w:val="VAFigureCaption"/>
      </w:pPr>
      <w:r>
        <w:rPr>
          <w:b/>
          <w:bCs/>
        </w:rPr>
        <w:t>Figure S</w:t>
      </w:r>
      <w:r>
        <w:rPr>
          <w:b/>
          <w:bCs/>
        </w:rPr>
        <w:t>5</w:t>
      </w:r>
      <w:r>
        <w:rPr>
          <w:b/>
          <w:bCs/>
        </w:rPr>
        <w:t xml:space="preserve">. </w:t>
      </w:r>
      <w:r w:rsidRPr="00A63C5F">
        <w:t>Probability of detecting CO</w:t>
      </w:r>
      <w:r w:rsidR="00EE5461">
        <w:rPr>
          <w:vertAlign w:val="subscript"/>
        </w:rPr>
        <w:t>2</w:t>
      </w:r>
      <w:r w:rsidRPr="00A63C5F">
        <w:t xml:space="preserve"> anomaly type with and without highways.</w:t>
      </w:r>
    </w:p>
    <w:p w14:paraId="25A4C98F" w14:textId="756FE006" w:rsidR="00A63C5F" w:rsidRDefault="00A63C5F" w:rsidP="00A63C5F"/>
    <w:p w14:paraId="5FF24D89" w14:textId="00BFCD55" w:rsidR="00A63C5F" w:rsidRDefault="00A63C5F" w:rsidP="00A63C5F"/>
    <w:p w14:paraId="5934DEB7" w14:textId="71993830" w:rsidR="00A63C5F" w:rsidRDefault="00A63C5F" w:rsidP="00A63C5F"/>
    <w:p w14:paraId="1E0D6F31" w14:textId="392148F6" w:rsidR="00A63C5F" w:rsidRDefault="00A63C5F" w:rsidP="00A63C5F"/>
    <w:p w14:paraId="4CF8D4F1" w14:textId="1032E640" w:rsidR="00A63C5F" w:rsidRDefault="00A63C5F" w:rsidP="00A63C5F"/>
    <w:p w14:paraId="0BB7DDE6" w14:textId="5B3AF173" w:rsidR="00A63C5F" w:rsidRDefault="00A63C5F" w:rsidP="00A63C5F"/>
    <w:p w14:paraId="7F4DB44C" w14:textId="191B0298" w:rsidR="00A63C5F" w:rsidRDefault="00A63C5F" w:rsidP="00A63C5F"/>
    <w:p w14:paraId="3C3F3D3D" w14:textId="145D6F3F" w:rsidR="00A63C5F" w:rsidRDefault="00A63C5F" w:rsidP="00A63C5F"/>
    <w:p w14:paraId="5F816D78" w14:textId="7753AF6E" w:rsidR="00A63C5F" w:rsidRDefault="00A63C5F" w:rsidP="00A63C5F"/>
    <w:p w14:paraId="607E16E1" w14:textId="236D7564" w:rsidR="00A63C5F" w:rsidRDefault="00A63C5F" w:rsidP="00A63C5F"/>
    <w:p w14:paraId="393D4CAE" w14:textId="6C6FBEF0" w:rsidR="00A63C5F" w:rsidRDefault="00A63C5F" w:rsidP="00A63C5F"/>
    <w:p w14:paraId="17E7150A" w14:textId="77777777" w:rsidR="005711E4" w:rsidRDefault="005711E4" w:rsidP="00B36554">
      <w:pPr>
        <w:pStyle w:val="VDTableTitle"/>
        <w:rPr>
          <w:b/>
          <w:bCs/>
        </w:rPr>
      </w:pPr>
    </w:p>
    <w:p w14:paraId="0AD4538A" w14:textId="4D462ADC" w:rsidR="00B36554" w:rsidRDefault="00B36554" w:rsidP="00B36554">
      <w:pPr>
        <w:pStyle w:val="VDTableTitle"/>
        <w:rPr>
          <w:b/>
          <w:bCs/>
        </w:rPr>
      </w:pPr>
      <w:r>
        <w:rPr>
          <w:b/>
          <w:bCs/>
        </w:rPr>
        <w:lastRenderedPageBreak/>
        <w:t xml:space="preserve">Table </w:t>
      </w:r>
      <w:r w:rsidR="005A32D7">
        <w:rPr>
          <w:b/>
          <w:bCs/>
        </w:rPr>
        <w:t xml:space="preserve">S1. </w:t>
      </w:r>
      <w:r w:rsidR="005A32D7" w:rsidRPr="0085568D">
        <w:t>Instruments used in the Houston mobile monitoring campaign.</w:t>
      </w:r>
    </w:p>
    <w:tbl>
      <w:tblPr>
        <w:tblStyle w:val="PlainTable2"/>
        <w:tblW w:w="0" w:type="auto"/>
        <w:tblLook w:val="0420" w:firstRow="1" w:lastRow="0" w:firstColumn="0" w:lastColumn="0" w:noHBand="0" w:noVBand="1"/>
      </w:tblPr>
      <w:tblGrid>
        <w:gridCol w:w="4056"/>
        <w:gridCol w:w="4422"/>
      </w:tblGrid>
      <w:tr w:rsidR="005A32D7" w:rsidRPr="005A32D7" w14:paraId="5EB18BAD" w14:textId="77777777" w:rsidTr="00F637EF">
        <w:trPr>
          <w:cnfStyle w:val="100000000000" w:firstRow="1" w:lastRow="0" w:firstColumn="0" w:lastColumn="0" w:oddVBand="0" w:evenVBand="0" w:oddHBand="0" w:evenHBand="0" w:firstRowFirstColumn="0" w:firstRowLastColumn="0" w:lastRowFirstColumn="0" w:lastRowLastColumn="0"/>
          <w:trHeight w:val="584"/>
        </w:trPr>
        <w:tc>
          <w:tcPr>
            <w:tcW w:w="0" w:type="auto"/>
            <w:hideMark/>
          </w:tcPr>
          <w:p w14:paraId="129BC383" w14:textId="77777777" w:rsidR="005A32D7" w:rsidRPr="005A32D7" w:rsidRDefault="005A32D7" w:rsidP="005A32D7">
            <w:r w:rsidRPr="005A32D7">
              <w:t>Measured Pollutant</w:t>
            </w:r>
          </w:p>
        </w:tc>
        <w:tc>
          <w:tcPr>
            <w:tcW w:w="0" w:type="auto"/>
            <w:hideMark/>
          </w:tcPr>
          <w:p w14:paraId="7CA846D0" w14:textId="77777777" w:rsidR="005A32D7" w:rsidRPr="005A32D7" w:rsidRDefault="005A32D7" w:rsidP="005A32D7">
            <w:r w:rsidRPr="005A32D7">
              <w:t>Instrument</w:t>
            </w:r>
          </w:p>
        </w:tc>
      </w:tr>
      <w:tr w:rsidR="005A32D7" w:rsidRPr="005A32D7" w14:paraId="5E8DE033" w14:textId="77777777" w:rsidTr="00F637EF">
        <w:trPr>
          <w:cnfStyle w:val="000000100000" w:firstRow="0" w:lastRow="0" w:firstColumn="0" w:lastColumn="0" w:oddVBand="0" w:evenVBand="0" w:oddHBand="1" w:evenHBand="0" w:firstRowFirstColumn="0" w:firstRowLastColumn="0" w:lastRowFirstColumn="0" w:lastRowLastColumn="0"/>
          <w:trHeight w:val="584"/>
        </w:trPr>
        <w:tc>
          <w:tcPr>
            <w:tcW w:w="0" w:type="auto"/>
            <w:hideMark/>
          </w:tcPr>
          <w:p w14:paraId="5C485E43" w14:textId="77777777" w:rsidR="005A32D7" w:rsidRPr="005A32D7" w:rsidRDefault="005A32D7" w:rsidP="005A32D7">
            <w:r w:rsidRPr="005A32D7">
              <w:t>Black Carbon (BC) (ng/m</w:t>
            </w:r>
            <w:r w:rsidRPr="005A32D7">
              <w:rPr>
                <w:vertAlign w:val="superscript"/>
              </w:rPr>
              <w:t>3</w:t>
            </w:r>
            <w:r w:rsidRPr="005A32D7">
              <w:t>)</w:t>
            </w:r>
          </w:p>
        </w:tc>
        <w:tc>
          <w:tcPr>
            <w:tcW w:w="0" w:type="auto"/>
            <w:hideMark/>
          </w:tcPr>
          <w:p w14:paraId="5F551830" w14:textId="77777777" w:rsidR="005A32D7" w:rsidRPr="005A32D7" w:rsidRDefault="005A32D7" w:rsidP="005A32D7">
            <w:r w:rsidRPr="005A32D7">
              <w:t>AE33 (Aethalometer)</w:t>
            </w:r>
          </w:p>
        </w:tc>
      </w:tr>
      <w:tr w:rsidR="005A32D7" w:rsidRPr="005A32D7" w14:paraId="30177242" w14:textId="77777777" w:rsidTr="00F637EF">
        <w:trPr>
          <w:trHeight w:val="584"/>
        </w:trPr>
        <w:tc>
          <w:tcPr>
            <w:tcW w:w="0" w:type="auto"/>
            <w:hideMark/>
          </w:tcPr>
          <w:p w14:paraId="03DEDA8D" w14:textId="77777777" w:rsidR="005A32D7" w:rsidRPr="005A32D7" w:rsidRDefault="005A32D7" w:rsidP="005A32D7">
            <w:r w:rsidRPr="005A32D7">
              <w:t>Carbon Dioxide (CO</w:t>
            </w:r>
            <w:r w:rsidRPr="005A32D7">
              <w:rPr>
                <w:vertAlign w:val="subscript"/>
              </w:rPr>
              <w:t>2</w:t>
            </w:r>
            <w:r w:rsidRPr="005A32D7">
              <w:t>) (ppm)</w:t>
            </w:r>
          </w:p>
        </w:tc>
        <w:tc>
          <w:tcPr>
            <w:tcW w:w="0" w:type="auto"/>
            <w:hideMark/>
          </w:tcPr>
          <w:p w14:paraId="1772F46B" w14:textId="77777777" w:rsidR="005A32D7" w:rsidRPr="005A32D7" w:rsidRDefault="005A32D7" w:rsidP="005A32D7">
            <w:r w:rsidRPr="005A32D7">
              <w:t>LI-7000 CO</w:t>
            </w:r>
            <w:r w:rsidRPr="005A32D7">
              <w:rPr>
                <w:vertAlign w:val="subscript"/>
              </w:rPr>
              <w:t>2</w:t>
            </w:r>
            <w:r w:rsidRPr="005A32D7">
              <w:t>/H</w:t>
            </w:r>
            <w:r w:rsidRPr="005A32D7">
              <w:rPr>
                <w:vertAlign w:val="subscript"/>
              </w:rPr>
              <w:t>2</w:t>
            </w:r>
            <w:r w:rsidRPr="005A32D7">
              <w:t>O Analyzer (Spectroscopy)</w:t>
            </w:r>
          </w:p>
        </w:tc>
      </w:tr>
      <w:tr w:rsidR="005A32D7" w:rsidRPr="005A32D7" w14:paraId="338185CD" w14:textId="77777777" w:rsidTr="00F637EF">
        <w:trPr>
          <w:cnfStyle w:val="000000100000" w:firstRow="0" w:lastRow="0" w:firstColumn="0" w:lastColumn="0" w:oddVBand="0" w:evenVBand="0" w:oddHBand="1" w:evenHBand="0" w:firstRowFirstColumn="0" w:firstRowLastColumn="0" w:lastRowFirstColumn="0" w:lastRowLastColumn="0"/>
          <w:trHeight w:val="584"/>
        </w:trPr>
        <w:tc>
          <w:tcPr>
            <w:tcW w:w="0" w:type="auto"/>
            <w:hideMark/>
          </w:tcPr>
          <w:p w14:paraId="0E870919" w14:textId="77777777" w:rsidR="005A32D7" w:rsidRPr="005A32D7" w:rsidRDefault="005A32D7" w:rsidP="005A32D7">
            <w:r w:rsidRPr="005A32D7">
              <w:t>Nitric Oxide (NO) (ppb)</w:t>
            </w:r>
          </w:p>
        </w:tc>
        <w:tc>
          <w:tcPr>
            <w:tcW w:w="0" w:type="auto"/>
            <w:hideMark/>
          </w:tcPr>
          <w:p w14:paraId="6D74C39E" w14:textId="77777777" w:rsidR="005A32D7" w:rsidRPr="005A32D7" w:rsidRDefault="005A32D7" w:rsidP="005A32D7">
            <w:r w:rsidRPr="005A32D7">
              <w:t>Teledyne T200 (Chemiluminescence)</w:t>
            </w:r>
          </w:p>
        </w:tc>
      </w:tr>
      <w:tr w:rsidR="005A32D7" w:rsidRPr="005A32D7" w14:paraId="2D468FBF" w14:textId="77777777" w:rsidTr="00F637EF">
        <w:trPr>
          <w:trHeight w:val="584"/>
        </w:trPr>
        <w:tc>
          <w:tcPr>
            <w:tcW w:w="0" w:type="auto"/>
            <w:hideMark/>
          </w:tcPr>
          <w:p w14:paraId="0AF6D7A0" w14:textId="77777777" w:rsidR="005A32D7" w:rsidRPr="005A32D7" w:rsidRDefault="005A32D7" w:rsidP="005A32D7">
            <w:r w:rsidRPr="005A32D7">
              <w:t>Nitrogen Dioxide (NO</w:t>
            </w:r>
            <w:r w:rsidRPr="005A32D7">
              <w:rPr>
                <w:vertAlign w:val="subscript"/>
              </w:rPr>
              <w:t>2</w:t>
            </w:r>
            <w:r w:rsidRPr="005A32D7">
              <w:t>) (ppb)</w:t>
            </w:r>
          </w:p>
        </w:tc>
        <w:tc>
          <w:tcPr>
            <w:tcW w:w="0" w:type="auto"/>
            <w:hideMark/>
          </w:tcPr>
          <w:p w14:paraId="3ABAD9E9" w14:textId="77777777" w:rsidR="005A32D7" w:rsidRPr="005A32D7" w:rsidRDefault="005A32D7" w:rsidP="005A32D7">
            <w:r w:rsidRPr="005A32D7">
              <w:t>Teledyne T500U (CAPS)</w:t>
            </w:r>
          </w:p>
        </w:tc>
      </w:tr>
      <w:tr w:rsidR="005A32D7" w:rsidRPr="005A32D7" w14:paraId="613B963B" w14:textId="77777777" w:rsidTr="00F637EF">
        <w:trPr>
          <w:cnfStyle w:val="000000100000" w:firstRow="0" w:lastRow="0" w:firstColumn="0" w:lastColumn="0" w:oddVBand="0" w:evenVBand="0" w:oddHBand="1" w:evenHBand="0" w:firstRowFirstColumn="0" w:firstRowLastColumn="0" w:lastRowFirstColumn="0" w:lastRowLastColumn="0"/>
          <w:trHeight w:val="584"/>
        </w:trPr>
        <w:tc>
          <w:tcPr>
            <w:tcW w:w="0" w:type="auto"/>
            <w:hideMark/>
          </w:tcPr>
          <w:p w14:paraId="5CBAD8FA" w14:textId="77777777" w:rsidR="005A32D7" w:rsidRPr="005A32D7" w:rsidRDefault="005A32D7" w:rsidP="005A32D7">
            <w:r w:rsidRPr="005A32D7">
              <w:t>Ultrafine Particle Counts (UFP) (p/cm</w:t>
            </w:r>
            <w:r w:rsidRPr="005A32D7">
              <w:rPr>
                <w:vertAlign w:val="superscript"/>
              </w:rPr>
              <w:t>3</w:t>
            </w:r>
            <w:r w:rsidRPr="005A32D7">
              <w:t>)</w:t>
            </w:r>
          </w:p>
        </w:tc>
        <w:tc>
          <w:tcPr>
            <w:tcW w:w="0" w:type="auto"/>
            <w:hideMark/>
          </w:tcPr>
          <w:p w14:paraId="0722E86F" w14:textId="77777777" w:rsidR="005A32D7" w:rsidRPr="005A32D7" w:rsidRDefault="005A32D7" w:rsidP="005A32D7">
            <w:r w:rsidRPr="005A32D7">
              <w:t>Aerosol Dynamics MAGIC 200p (CPC)</w:t>
            </w:r>
          </w:p>
        </w:tc>
      </w:tr>
    </w:tbl>
    <w:p w14:paraId="33E3002A" w14:textId="2A4BB81C" w:rsidR="005A32D7" w:rsidRDefault="005A32D7" w:rsidP="005A32D7"/>
    <w:p w14:paraId="35E2C60A" w14:textId="51607EC1" w:rsidR="0085568D" w:rsidRDefault="0085568D" w:rsidP="005A32D7"/>
    <w:p w14:paraId="7DEB9D7B" w14:textId="08C7046E" w:rsidR="0085568D" w:rsidRDefault="0085568D" w:rsidP="005A32D7"/>
    <w:p w14:paraId="5601B592" w14:textId="4233EB3D" w:rsidR="0085568D" w:rsidRDefault="0085568D" w:rsidP="005A32D7"/>
    <w:p w14:paraId="5CD44ED6" w14:textId="5D1C7101" w:rsidR="0085568D" w:rsidRDefault="0085568D" w:rsidP="005A32D7"/>
    <w:p w14:paraId="27280ABB" w14:textId="06BFBCB2" w:rsidR="0085568D" w:rsidRDefault="0085568D" w:rsidP="005A32D7"/>
    <w:p w14:paraId="04B69B96" w14:textId="327D05D2" w:rsidR="0085568D" w:rsidRDefault="0085568D" w:rsidP="005A32D7"/>
    <w:p w14:paraId="01551D10" w14:textId="3BF8CF05" w:rsidR="0085568D" w:rsidRDefault="0085568D" w:rsidP="005A32D7"/>
    <w:p w14:paraId="532AD951" w14:textId="4A2DE558" w:rsidR="0085568D" w:rsidRDefault="0085568D" w:rsidP="005A32D7"/>
    <w:p w14:paraId="5DC439FB" w14:textId="7EDDF391" w:rsidR="0085568D" w:rsidRDefault="0085568D" w:rsidP="005A32D7"/>
    <w:p w14:paraId="23D5FAE9" w14:textId="2D67BEAB" w:rsidR="0085568D" w:rsidRDefault="0085568D" w:rsidP="005A32D7"/>
    <w:p w14:paraId="000A7254" w14:textId="7CA6DD18" w:rsidR="0085568D" w:rsidRDefault="0085568D" w:rsidP="005A32D7"/>
    <w:p w14:paraId="287CDB08" w14:textId="6BED115E" w:rsidR="0085568D" w:rsidRDefault="0085568D" w:rsidP="005A32D7"/>
    <w:p w14:paraId="00C02EF9" w14:textId="1D8C90A1" w:rsidR="0085568D" w:rsidRDefault="0085568D" w:rsidP="005A32D7"/>
    <w:p w14:paraId="349523BE" w14:textId="76F7195E" w:rsidR="0085568D" w:rsidRDefault="0085568D" w:rsidP="005A32D7"/>
    <w:p w14:paraId="009526DC" w14:textId="42441D2A" w:rsidR="0085568D" w:rsidRDefault="0085568D" w:rsidP="005A32D7"/>
    <w:p w14:paraId="4A1FA914" w14:textId="20F53AE3" w:rsidR="0085568D" w:rsidRDefault="0085568D" w:rsidP="005A32D7"/>
    <w:p w14:paraId="7AE0ECEE" w14:textId="77777777" w:rsidR="0085568D" w:rsidRDefault="0085568D" w:rsidP="005A32D7"/>
    <w:p w14:paraId="136E73E5" w14:textId="081024C7" w:rsidR="00355954" w:rsidRDefault="00355954" w:rsidP="00355954">
      <w:pPr>
        <w:pStyle w:val="VDTableTitle"/>
        <w:rPr>
          <w:b/>
          <w:bCs/>
        </w:rPr>
      </w:pPr>
      <w:r>
        <w:rPr>
          <w:b/>
          <w:bCs/>
        </w:rPr>
        <w:lastRenderedPageBreak/>
        <w:t xml:space="preserve">Table S2. </w:t>
      </w:r>
      <w:r w:rsidRPr="0085568D">
        <w:t>Cross validation results for 5 folds.</w:t>
      </w:r>
    </w:p>
    <w:tbl>
      <w:tblPr>
        <w:tblStyle w:val="PlainTable2"/>
        <w:tblW w:w="0" w:type="auto"/>
        <w:tblLook w:val="04A0" w:firstRow="1" w:lastRow="0" w:firstColumn="1" w:lastColumn="0" w:noHBand="0" w:noVBand="1"/>
      </w:tblPr>
      <w:tblGrid>
        <w:gridCol w:w="3116"/>
        <w:gridCol w:w="3117"/>
        <w:gridCol w:w="3117"/>
      </w:tblGrid>
      <w:tr w:rsidR="00355954" w14:paraId="2B3A3A5B" w14:textId="77777777" w:rsidTr="00355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296399" w14:textId="2A479E4E" w:rsidR="00355954" w:rsidRDefault="00355954" w:rsidP="00355954">
            <w:r>
              <w:t>Fold</w:t>
            </w:r>
          </w:p>
        </w:tc>
        <w:tc>
          <w:tcPr>
            <w:tcW w:w="3117" w:type="dxa"/>
          </w:tcPr>
          <w:p w14:paraId="58DE94D6" w14:textId="484FDDDE" w:rsidR="00355954" w:rsidRDefault="00355954" w:rsidP="00355954">
            <w:pPr>
              <w:cnfStyle w:val="100000000000" w:firstRow="1" w:lastRow="0" w:firstColumn="0" w:lastColumn="0" w:oddVBand="0" w:evenVBand="0" w:oddHBand="0" w:evenHBand="0" w:firstRowFirstColumn="0" w:firstRowLastColumn="0" w:lastRowFirstColumn="0" w:lastRowLastColumn="0"/>
            </w:pPr>
            <w:r>
              <w:t xml:space="preserve">Trained </w:t>
            </w:r>
            <m:oMath>
              <m:sSub>
                <m:sSubPr>
                  <m:ctrlPr>
                    <w:rPr>
                      <w:rFonts w:ascii="Cambria Math" w:hAnsi="Cambria Math" w:cs="Times"/>
                      <w:i/>
                    </w:rPr>
                  </m:ctrlPr>
                </m:sSubPr>
                <m:e>
                  <m:r>
                    <m:rPr>
                      <m:nor/>
                    </m:rPr>
                    <w:rPr>
                      <w:rFonts w:cs="Times"/>
                    </w:rPr>
                    <m:t>f</m:t>
                  </m:r>
                </m:e>
                <m:sub>
                  <m:r>
                    <m:rPr>
                      <m:nor/>
                    </m:rPr>
                    <w:rPr>
                      <w:rFonts w:cs="Times"/>
                    </w:rPr>
                    <m:t>val</m:t>
                  </m:r>
                </m:sub>
              </m:sSub>
            </m:oMath>
          </w:p>
        </w:tc>
        <w:tc>
          <w:tcPr>
            <w:tcW w:w="3117" w:type="dxa"/>
          </w:tcPr>
          <w:p w14:paraId="6E00AEAE" w14:textId="0122C5B8" w:rsidR="00355954" w:rsidRDefault="00355954" w:rsidP="00355954">
            <w:pPr>
              <w:cnfStyle w:val="100000000000" w:firstRow="1" w:lastRow="0" w:firstColumn="0" w:lastColumn="0" w:oddVBand="0" w:evenVBand="0" w:oddHBand="0" w:evenHBand="0" w:firstRowFirstColumn="0" w:firstRowLastColumn="0" w:lastRowFirstColumn="0" w:lastRowLastColumn="0"/>
            </w:pPr>
            <w:r>
              <w:t>Testing Performance (%)</w:t>
            </w:r>
          </w:p>
        </w:tc>
      </w:tr>
      <w:tr w:rsidR="00355954" w14:paraId="03092B38" w14:textId="77777777" w:rsidTr="0035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DD7352" w14:textId="7B443455" w:rsidR="00355954" w:rsidRDefault="00355954" w:rsidP="00355954">
            <w:r>
              <w:t>1</w:t>
            </w:r>
          </w:p>
        </w:tc>
        <w:tc>
          <w:tcPr>
            <w:tcW w:w="3117" w:type="dxa"/>
          </w:tcPr>
          <w:p w14:paraId="119E0ED2" w14:textId="0599879C" w:rsidR="00355954" w:rsidRDefault="00355954" w:rsidP="00355954">
            <w:pPr>
              <w:cnfStyle w:val="000000100000" w:firstRow="0" w:lastRow="0" w:firstColumn="0" w:lastColumn="0" w:oddVBand="0" w:evenVBand="0" w:oddHBand="1" w:evenHBand="0" w:firstRowFirstColumn="0" w:firstRowLastColumn="0" w:lastRowFirstColumn="0" w:lastRowLastColumn="0"/>
            </w:pPr>
            <w:r>
              <w:t>0.01</w:t>
            </w:r>
          </w:p>
        </w:tc>
        <w:tc>
          <w:tcPr>
            <w:tcW w:w="3117" w:type="dxa"/>
          </w:tcPr>
          <w:p w14:paraId="77AB55D8" w14:textId="1A75FDC2" w:rsidR="00355954" w:rsidRDefault="00355954" w:rsidP="00355954">
            <w:pPr>
              <w:cnfStyle w:val="000000100000" w:firstRow="0" w:lastRow="0" w:firstColumn="0" w:lastColumn="0" w:oddVBand="0" w:evenVBand="0" w:oddHBand="1" w:evenHBand="0" w:firstRowFirstColumn="0" w:firstRowLastColumn="0" w:lastRowFirstColumn="0" w:lastRowLastColumn="0"/>
            </w:pPr>
            <w:r>
              <w:t>85.05</w:t>
            </w:r>
          </w:p>
        </w:tc>
      </w:tr>
      <w:tr w:rsidR="00355954" w14:paraId="3784EB16" w14:textId="77777777" w:rsidTr="00355954">
        <w:tc>
          <w:tcPr>
            <w:cnfStyle w:val="001000000000" w:firstRow="0" w:lastRow="0" w:firstColumn="1" w:lastColumn="0" w:oddVBand="0" w:evenVBand="0" w:oddHBand="0" w:evenHBand="0" w:firstRowFirstColumn="0" w:firstRowLastColumn="0" w:lastRowFirstColumn="0" w:lastRowLastColumn="0"/>
            <w:tcW w:w="3116" w:type="dxa"/>
          </w:tcPr>
          <w:p w14:paraId="11CBBE9D" w14:textId="3B94C535" w:rsidR="00355954" w:rsidRDefault="00355954" w:rsidP="00355954">
            <w:r>
              <w:t>2</w:t>
            </w:r>
          </w:p>
        </w:tc>
        <w:tc>
          <w:tcPr>
            <w:tcW w:w="3117" w:type="dxa"/>
          </w:tcPr>
          <w:p w14:paraId="505C5A83" w14:textId="00352C7F" w:rsidR="00355954" w:rsidRDefault="00355954" w:rsidP="00355954">
            <w:pPr>
              <w:cnfStyle w:val="000000000000" w:firstRow="0" w:lastRow="0" w:firstColumn="0" w:lastColumn="0" w:oddVBand="0" w:evenVBand="0" w:oddHBand="0" w:evenHBand="0" w:firstRowFirstColumn="0" w:firstRowLastColumn="0" w:lastRowFirstColumn="0" w:lastRowLastColumn="0"/>
            </w:pPr>
            <w:r>
              <w:t>0.03</w:t>
            </w:r>
          </w:p>
        </w:tc>
        <w:tc>
          <w:tcPr>
            <w:tcW w:w="3117" w:type="dxa"/>
          </w:tcPr>
          <w:p w14:paraId="02093D65" w14:textId="50536384" w:rsidR="00355954" w:rsidRDefault="00355954" w:rsidP="00355954">
            <w:pPr>
              <w:cnfStyle w:val="000000000000" w:firstRow="0" w:lastRow="0" w:firstColumn="0" w:lastColumn="0" w:oddVBand="0" w:evenVBand="0" w:oddHBand="0" w:evenHBand="0" w:firstRowFirstColumn="0" w:firstRowLastColumn="0" w:lastRowFirstColumn="0" w:lastRowLastColumn="0"/>
            </w:pPr>
            <w:r>
              <w:t>85.93</w:t>
            </w:r>
          </w:p>
        </w:tc>
      </w:tr>
      <w:tr w:rsidR="00355954" w14:paraId="47827ECF" w14:textId="77777777" w:rsidTr="0035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B88F5" w14:textId="2A1D9918" w:rsidR="00355954" w:rsidRDefault="00355954" w:rsidP="00355954">
            <w:r>
              <w:t>3</w:t>
            </w:r>
          </w:p>
        </w:tc>
        <w:tc>
          <w:tcPr>
            <w:tcW w:w="3117" w:type="dxa"/>
          </w:tcPr>
          <w:p w14:paraId="6401E0F0" w14:textId="0C5B16E8" w:rsidR="00355954" w:rsidRDefault="00355954" w:rsidP="00355954">
            <w:pPr>
              <w:cnfStyle w:val="000000100000" w:firstRow="0" w:lastRow="0" w:firstColumn="0" w:lastColumn="0" w:oddVBand="0" w:evenVBand="0" w:oddHBand="1" w:evenHBand="0" w:firstRowFirstColumn="0" w:firstRowLastColumn="0" w:lastRowFirstColumn="0" w:lastRowLastColumn="0"/>
            </w:pPr>
            <w:r>
              <w:t>0.03</w:t>
            </w:r>
          </w:p>
        </w:tc>
        <w:tc>
          <w:tcPr>
            <w:tcW w:w="3117" w:type="dxa"/>
          </w:tcPr>
          <w:p w14:paraId="371F5166" w14:textId="012E4EB5" w:rsidR="00355954" w:rsidRDefault="00355954" w:rsidP="00355954">
            <w:pPr>
              <w:cnfStyle w:val="000000100000" w:firstRow="0" w:lastRow="0" w:firstColumn="0" w:lastColumn="0" w:oddVBand="0" w:evenVBand="0" w:oddHBand="1" w:evenHBand="0" w:firstRowFirstColumn="0" w:firstRowLastColumn="0" w:lastRowFirstColumn="0" w:lastRowLastColumn="0"/>
            </w:pPr>
            <w:r>
              <w:t>87.39</w:t>
            </w:r>
          </w:p>
        </w:tc>
      </w:tr>
      <w:tr w:rsidR="00355954" w14:paraId="09B3FB79" w14:textId="77777777" w:rsidTr="00355954">
        <w:tc>
          <w:tcPr>
            <w:cnfStyle w:val="001000000000" w:firstRow="0" w:lastRow="0" w:firstColumn="1" w:lastColumn="0" w:oddVBand="0" w:evenVBand="0" w:oddHBand="0" w:evenHBand="0" w:firstRowFirstColumn="0" w:firstRowLastColumn="0" w:lastRowFirstColumn="0" w:lastRowLastColumn="0"/>
            <w:tcW w:w="3116" w:type="dxa"/>
          </w:tcPr>
          <w:p w14:paraId="7447B359" w14:textId="688E13CC" w:rsidR="00355954" w:rsidRDefault="00355954" w:rsidP="00355954">
            <w:r>
              <w:t>4</w:t>
            </w:r>
          </w:p>
        </w:tc>
        <w:tc>
          <w:tcPr>
            <w:tcW w:w="3117" w:type="dxa"/>
          </w:tcPr>
          <w:p w14:paraId="7DB8499A" w14:textId="7C3F629A" w:rsidR="00355954" w:rsidRDefault="00355954" w:rsidP="00355954">
            <w:pPr>
              <w:cnfStyle w:val="000000000000" w:firstRow="0" w:lastRow="0" w:firstColumn="0" w:lastColumn="0" w:oddVBand="0" w:evenVBand="0" w:oddHBand="0" w:evenHBand="0" w:firstRowFirstColumn="0" w:firstRowLastColumn="0" w:lastRowFirstColumn="0" w:lastRowLastColumn="0"/>
            </w:pPr>
            <w:r>
              <w:t>0.03</w:t>
            </w:r>
          </w:p>
        </w:tc>
        <w:tc>
          <w:tcPr>
            <w:tcW w:w="3117" w:type="dxa"/>
          </w:tcPr>
          <w:p w14:paraId="21EC84EB" w14:textId="74FF9227" w:rsidR="00355954" w:rsidRDefault="00355954" w:rsidP="00355954">
            <w:pPr>
              <w:cnfStyle w:val="000000000000" w:firstRow="0" w:lastRow="0" w:firstColumn="0" w:lastColumn="0" w:oddVBand="0" w:evenVBand="0" w:oddHBand="0" w:evenHBand="0" w:firstRowFirstColumn="0" w:firstRowLastColumn="0" w:lastRowFirstColumn="0" w:lastRowLastColumn="0"/>
            </w:pPr>
            <w:r>
              <w:t>84.09</w:t>
            </w:r>
          </w:p>
        </w:tc>
      </w:tr>
      <w:tr w:rsidR="00355954" w14:paraId="44A39E69" w14:textId="77777777" w:rsidTr="0035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108F59" w14:textId="0B96CFF1" w:rsidR="00355954" w:rsidRDefault="00355954" w:rsidP="00355954">
            <w:r>
              <w:t>5</w:t>
            </w:r>
          </w:p>
        </w:tc>
        <w:tc>
          <w:tcPr>
            <w:tcW w:w="3117" w:type="dxa"/>
          </w:tcPr>
          <w:p w14:paraId="6D581169" w14:textId="1CC124D5" w:rsidR="00355954" w:rsidRDefault="00355954" w:rsidP="00355954">
            <w:pPr>
              <w:cnfStyle w:val="000000100000" w:firstRow="0" w:lastRow="0" w:firstColumn="0" w:lastColumn="0" w:oddVBand="0" w:evenVBand="0" w:oddHBand="1" w:evenHBand="0" w:firstRowFirstColumn="0" w:firstRowLastColumn="0" w:lastRowFirstColumn="0" w:lastRowLastColumn="0"/>
            </w:pPr>
            <w:r>
              <w:t>0.03</w:t>
            </w:r>
          </w:p>
        </w:tc>
        <w:tc>
          <w:tcPr>
            <w:tcW w:w="3117" w:type="dxa"/>
          </w:tcPr>
          <w:p w14:paraId="66A0DF4E" w14:textId="0902E06B" w:rsidR="00355954" w:rsidRDefault="00355954" w:rsidP="00355954">
            <w:pPr>
              <w:cnfStyle w:val="000000100000" w:firstRow="0" w:lastRow="0" w:firstColumn="0" w:lastColumn="0" w:oddVBand="0" w:evenVBand="0" w:oddHBand="1" w:evenHBand="0" w:firstRowFirstColumn="0" w:firstRowLastColumn="0" w:lastRowFirstColumn="0" w:lastRowLastColumn="0"/>
            </w:pPr>
            <w:r>
              <w:t>88.57</w:t>
            </w:r>
          </w:p>
        </w:tc>
      </w:tr>
    </w:tbl>
    <w:p w14:paraId="6E5FACCC" w14:textId="79FBDFDC" w:rsidR="00355954" w:rsidRDefault="00355954" w:rsidP="00355954"/>
    <w:p w14:paraId="4EC7FFD8" w14:textId="1A32C7CF" w:rsidR="0085568D" w:rsidRDefault="0085568D" w:rsidP="00355954"/>
    <w:p w14:paraId="292805B3" w14:textId="620FA233" w:rsidR="0085568D" w:rsidRDefault="0085568D" w:rsidP="00355954"/>
    <w:p w14:paraId="0CCE6ABA" w14:textId="2725CD39" w:rsidR="0085568D" w:rsidRDefault="0085568D" w:rsidP="00355954"/>
    <w:p w14:paraId="703EDDC5" w14:textId="579382C0" w:rsidR="0085568D" w:rsidRDefault="0085568D" w:rsidP="00355954"/>
    <w:p w14:paraId="510BD7A4" w14:textId="161D73FB" w:rsidR="0085568D" w:rsidRDefault="0085568D" w:rsidP="00355954"/>
    <w:p w14:paraId="02F70FDF" w14:textId="43E76755" w:rsidR="0085568D" w:rsidRDefault="0085568D" w:rsidP="00355954"/>
    <w:p w14:paraId="1F7406AA" w14:textId="5DE5CFB9" w:rsidR="0085568D" w:rsidRDefault="0085568D" w:rsidP="00355954"/>
    <w:p w14:paraId="545ECF09" w14:textId="0FF431F5" w:rsidR="0085568D" w:rsidRDefault="0085568D" w:rsidP="00355954"/>
    <w:p w14:paraId="262D2F2A" w14:textId="1C39121D" w:rsidR="0085568D" w:rsidRDefault="0085568D" w:rsidP="00355954"/>
    <w:p w14:paraId="5478B52E" w14:textId="3AC35ECB" w:rsidR="0085568D" w:rsidRDefault="0085568D" w:rsidP="00355954"/>
    <w:p w14:paraId="741868BC" w14:textId="0178E407" w:rsidR="0085568D" w:rsidRDefault="0085568D" w:rsidP="00355954"/>
    <w:p w14:paraId="15D09FA3" w14:textId="68BBEFBB" w:rsidR="0085568D" w:rsidRDefault="0085568D" w:rsidP="00355954"/>
    <w:p w14:paraId="0CE8CD60" w14:textId="44B83E4E" w:rsidR="0085568D" w:rsidRDefault="0085568D" w:rsidP="00355954"/>
    <w:p w14:paraId="6B3B0D8D" w14:textId="19A0FAB7" w:rsidR="0085568D" w:rsidRDefault="0085568D" w:rsidP="00355954"/>
    <w:p w14:paraId="4FBF10FA" w14:textId="1933C966" w:rsidR="0085568D" w:rsidRDefault="0085568D" w:rsidP="00355954"/>
    <w:p w14:paraId="72C1FEE8" w14:textId="5B68FB35" w:rsidR="0085568D" w:rsidRDefault="0085568D" w:rsidP="00355954"/>
    <w:p w14:paraId="657A0854" w14:textId="225FD063" w:rsidR="0085568D" w:rsidRDefault="0085568D" w:rsidP="00355954"/>
    <w:p w14:paraId="50CA1AF0" w14:textId="77777777" w:rsidR="0085568D" w:rsidRPr="00355954" w:rsidRDefault="0085568D" w:rsidP="00355954"/>
    <w:p w14:paraId="782B9507" w14:textId="444655E5" w:rsidR="00C06F00" w:rsidRPr="0085568D" w:rsidRDefault="0085568D" w:rsidP="0085568D">
      <w:pPr>
        <w:pStyle w:val="VDTableTitle"/>
        <w:rPr>
          <w:b/>
          <w:bCs/>
        </w:rPr>
      </w:pPr>
      <w:r>
        <w:rPr>
          <w:b/>
          <w:bCs/>
        </w:rPr>
        <w:lastRenderedPageBreak/>
        <w:t xml:space="preserve">Table S3. </w:t>
      </w:r>
      <w:r w:rsidRPr="0085568D">
        <w:t xml:space="preserve">Counts of </w:t>
      </w:r>
      <w:r>
        <w:t xml:space="preserve">when </w:t>
      </w:r>
      <w:r w:rsidR="00BD62FA">
        <w:t xml:space="preserve">QOR or DBSCAN outperform the other under </w:t>
      </w:r>
      <w:r w:rsidR="00FE1F1D">
        <w:t>different</w:t>
      </w:r>
      <w:r w:rsidR="00BD62FA">
        <w:t xml:space="preserve"> circumstances.</w:t>
      </w:r>
    </w:p>
    <w:tbl>
      <w:tblPr>
        <w:tblStyle w:val="PlainTable2"/>
        <w:tblW w:w="0" w:type="auto"/>
        <w:tblLook w:val="04A0" w:firstRow="1" w:lastRow="0" w:firstColumn="1" w:lastColumn="0" w:noHBand="0" w:noVBand="1"/>
      </w:tblPr>
      <w:tblGrid>
        <w:gridCol w:w="1870"/>
        <w:gridCol w:w="1870"/>
        <w:gridCol w:w="1870"/>
        <w:gridCol w:w="1870"/>
      </w:tblGrid>
      <w:tr w:rsidR="0085568D" w14:paraId="01B8F436" w14:textId="77777777" w:rsidTr="00855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1E575E" w14:textId="7D5CFB11" w:rsidR="0085568D" w:rsidRDefault="0085568D" w:rsidP="000B5610">
            <w:pPr>
              <w:pStyle w:val="TAMainText"/>
              <w:spacing w:after="240"/>
              <w:ind w:firstLine="0"/>
              <w:jc w:val="left"/>
            </w:pPr>
            <w:r>
              <w:t>QOR Label</w:t>
            </w:r>
          </w:p>
        </w:tc>
        <w:tc>
          <w:tcPr>
            <w:tcW w:w="1870" w:type="dxa"/>
          </w:tcPr>
          <w:p w14:paraId="150A934F" w14:textId="537361BA" w:rsidR="0085568D" w:rsidRDefault="0085568D" w:rsidP="000B5610">
            <w:pPr>
              <w:pStyle w:val="TAMainText"/>
              <w:spacing w:after="240"/>
              <w:ind w:firstLine="0"/>
              <w:jc w:val="left"/>
              <w:cnfStyle w:val="100000000000" w:firstRow="1" w:lastRow="0" w:firstColumn="0" w:lastColumn="0" w:oddVBand="0" w:evenVBand="0" w:oddHBand="0" w:evenHBand="0" w:firstRowFirstColumn="0" w:firstRowLastColumn="0" w:lastRowFirstColumn="0" w:lastRowLastColumn="0"/>
            </w:pPr>
            <w:r>
              <w:t>DBSCAN Label</w:t>
            </w:r>
          </w:p>
        </w:tc>
        <w:tc>
          <w:tcPr>
            <w:tcW w:w="1870" w:type="dxa"/>
          </w:tcPr>
          <w:p w14:paraId="51C1EF3A" w14:textId="43E8FFF7" w:rsidR="0085568D" w:rsidRDefault="0085568D" w:rsidP="000B5610">
            <w:pPr>
              <w:pStyle w:val="TAMainText"/>
              <w:spacing w:after="240"/>
              <w:ind w:firstLine="0"/>
              <w:jc w:val="left"/>
              <w:cnfStyle w:val="100000000000" w:firstRow="1" w:lastRow="0" w:firstColumn="0" w:lastColumn="0" w:oddVBand="0" w:evenVBand="0" w:oddHBand="0" w:evenHBand="0" w:firstRowFirstColumn="0" w:firstRowLastColumn="0" w:lastRowFirstColumn="0" w:lastRowLastColumn="0"/>
            </w:pPr>
            <w:r>
              <w:t>Correct Label</w:t>
            </w:r>
          </w:p>
        </w:tc>
        <w:tc>
          <w:tcPr>
            <w:tcW w:w="1870" w:type="dxa"/>
          </w:tcPr>
          <w:p w14:paraId="18036062" w14:textId="1F886147" w:rsidR="0085568D" w:rsidRDefault="0085568D" w:rsidP="000B5610">
            <w:pPr>
              <w:pStyle w:val="TAMainText"/>
              <w:spacing w:after="240"/>
              <w:ind w:firstLine="0"/>
              <w:jc w:val="left"/>
              <w:cnfStyle w:val="100000000000" w:firstRow="1" w:lastRow="0" w:firstColumn="0" w:lastColumn="0" w:oddVBand="0" w:evenVBand="0" w:oddHBand="0" w:evenHBand="0" w:firstRowFirstColumn="0" w:firstRowLastColumn="0" w:lastRowFirstColumn="0" w:lastRowLastColumn="0"/>
            </w:pPr>
            <w:r>
              <w:t>Counts</w:t>
            </w:r>
          </w:p>
        </w:tc>
      </w:tr>
      <w:tr w:rsidR="0085568D" w14:paraId="31710D52" w14:textId="77777777" w:rsidTr="00855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F7D6FD8" w14:textId="0BB4AF39" w:rsidR="0085568D" w:rsidRPr="0085568D" w:rsidRDefault="0085568D" w:rsidP="000B5610">
            <w:pPr>
              <w:pStyle w:val="TAMainText"/>
              <w:spacing w:after="240"/>
              <w:ind w:firstLine="0"/>
              <w:jc w:val="left"/>
              <w:rPr>
                <w:b w:val="0"/>
                <w:bCs w:val="0"/>
              </w:rPr>
            </w:pPr>
            <w:r w:rsidRPr="0085568D">
              <w:rPr>
                <w:b w:val="0"/>
                <w:bCs w:val="0"/>
              </w:rPr>
              <w:t>“Anomaly”</w:t>
            </w:r>
          </w:p>
        </w:tc>
        <w:tc>
          <w:tcPr>
            <w:tcW w:w="1870" w:type="dxa"/>
          </w:tcPr>
          <w:p w14:paraId="7A387C19" w14:textId="4D11480E" w:rsidR="0085568D" w:rsidRDefault="0085568D" w:rsidP="000B5610">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“Normal”</w:t>
            </w:r>
          </w:p>
        </w:tc>
        <w:tc>
          <w:tcPr>
            <w:tcW w:w="1870" w:type="dxa"/>
          </w:tcPr>
          <w:p w14:paraId="63FDB8A0" w14:textId="2B943467" w:rsidR="0085568D" w:rsidRDefault="0085568D" w:rsidP="000B5610">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“Normal”</w:t>
            </w:r>
          </w:p>
        </w:tc>
        <w:tc>
          <w:tcPr>
            <w:tcW w:w="1870" w:type="dxa"/>
          </w:tcPr>
          <w:p w14:paraId="17A0C18C" w14:textId="07BD6561" w:rsidR="0085568D" w:rsidRDefault="0085568D" w:rsidP="000B5610">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19456</w:t>
            </w:r>
          </w:p>
        </w:tc>
      </w:tr>
      <w:tr w:rsidR="0085568D" w14:paraId="7590D889" w14:textId="77777777" w:rsidTr="0085568D">
        <w:tc>
          <w:tcPr>
            <w:cnfStyle w:val="001000000000" w:firstRow="0" w:lastRow="0" w:firstColumn="1" w:lastColumn="0" w:oddVBand="0" w:evenVBand="0" w:oddHBand="0" w:evenHBand="0" w:firstRowFirstColumn="0" w:firstRowLastColumn="0" w:lastRowFirstColumn="0" w:lastRowLastColumn="0"/>
            <w:tcW w:w="1870" w:type="dxa"/>
          </w:tcPr>
          <w:p w14:paraId="5918C9D2" w14:textId="48AD909E" w:rsidR="0085568D" w:rsidRPr="0085568D" w:rsidRDefault="0085568D" w:rsidP="000B5610">
            <w:pPr>
              <w:pStyle w:val="TAMainText"/>
              <w:spacing w:after="240"/>
              <w:ind w:firstLine="0"/>
              <w:jc w:val="left"/>
              <w:rPr>
                <w:b w:val="0"/>
                <w:bCs w:val="0"/>
              </w:rPr>
            </w:pPr>
            <w:r w:rsidRPr="0085568D">
              <w:rPr>
                <w:b w:val="0"/>
                <w:bCs w:val="0"/>
              </w:rPr>
              <w:t>“Normal”</w:t>
            </w:r>
          </w:p>
        </w:tc>
        <w:tc>
          <w:tcPr>
            <w:tcW w:w="1870" w:type="dxa"/>
          </w:tcPr>
          <w:p w14:paraId="27035E9F" w14:textId="41D661DD" w:rsidR="0085568D" w:rsidRDefault="0085568D" w:rsidP="000B5610">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“Anomaly”</w:t>
            </w:r>
          </w:p>
        </w:tc>
        <w:tc>
          <w:tcPr>
            <w:tcW w:w="1870" w:type="dxa"/>
          </w:tcPr>
          <w:p w14:paraId="4751D1BA" w14:textId="467F227D" w:rsidR="0085568D" w:rsidRDefault="0085568D" w:rsidP="000B5610">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1870" w:type="dxa"/>
          </w:tcPr>
          <w:p w14:paraId="28E7AFDA" w14:textId="42C7A1F7" w:rsidR="0085568D" w:rsidRDefault="0085568D" w:rsidP="000B5610">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6739</w:t>
            </w:r>
          </w:p>
        </w:tc>
      </w:tr>
      <w:tr w:rsidR="0085568D" w14:paraId="389ECDBA" w14:textId="77777777" w:rsidTr="00855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CFFD33" w14:textId="2BCDE994" w:rsidR="0085568D" w:rsidRPr="0085568D" w:rsidRDefault="0085568D" w:rsidP="000B5610">
            <w:pPr>
              <w:pStyle w:val="TAMainText"/>
              <w:spacing w:after="240"/>
              <w:ind w:firstLine="0"/>
              <w:jc w:val="left"/>
              <w:rPr>
                <w:b w:val="0"/>
                <w:bCs w:val="0"/>
              </w:rPr>
            </w:pPr>
            <w:r w:rsidRPr="0085568D">
              <w:rPr>
                <w:b w:val="0"/>
                <w:bCs w:val="0"/>
              </w:rPr>
              <w:t>“Normal”</w:t>
            </w:r>
          </w:p>
        </w:tc>
        <w:tc>
          <w:tcPr>
            <w:tcW w:w="1870" w:type="dxa"/>
          </w:tcPr>
          <w:p w14:paraId="56316A10" w14:textId="088049C6" w:rsidR="0085568D" w:rsidRDefault="0085568D" w:rsidP="000B5610">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“Anomaly”</w:t>
            </w:r>
          </w:p>
        </w:tc>
        <w:tc>
          <w:tcPr>
            <w:tcW w:w="1870" w:type="dxa"/>
          </w:tcPr>
          <w:p w14:paraId="40BECE2A" w14:textId="419D8294" w:rsidR="0085568D" w:rsidRDefault="0085568D" w:rsidP="000B5610">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“Anomaly”</w:t>
            </w:r>
          </w:p>
        </w:tc>
        <w:tc>
          <w:tcPr>
            <w:tcW w:w="1870" w:type="dxa"/>
          </w:tcPr>
          <w:p w14:paraId="72F7FFBD" w14:textId="5736B2B6" w:rsidR="0085568D" w:rsidRDefault="0085568D" w:rsidP="000B5610">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8183</w:t>
            </w:r>
          </w:p>
        </w:tc>
      </w:tr>
      <w:tr w:rsidR="0085568D" w14:paraId="7537EB7C" w14:textId="77777777" w:rsidTr="0085568D">
        <w:tc>
          <w:tcPr>
            <w:cnfStyle w:val="001000000000" w:firstRow="0" w:lastRow="0" w:firstColumn="1" w:lastColumn="0" w:oddVBand="0" w:evenVBand="0" w:oddHBand="0" w:evenHBand="0" w:firstRowFirstColumn="0" w:firstRowLastColumn="0" w:lastRowFirstColumn="0" w:lastRowLastColumn="0"/>
            <w:tcW w:w="1870" w:type="dxa"/>
          </w:tcPr>
          <w:p w14:paraId="30EB042D" w14:textId="637F3B16" w:rsidR="0085568D" w:rsidRPr="0085568D" w:rsidRDefault="0085568D" w:rsidP="000B5610">
            <w:pPr>
              <w:pStyle w:val="TAMainText"/>
              <w:spacing w:after="240"/>
              <w:ind w:firstLine="0"/>
              <w:jc w:val="left"/>
              <w:rPr>
                <w:b w:val="0"/>
                <w:bCs w:val="0"/>
              </w:rPr>
            </w:pPr>
            <w:r w:rsidRPr="0085568D">
              <w:rPr>
                <w:b w:val="0"/>
                <w:bCs w:val="0"/>
              </w:rPr>
              <w:t>“Anomaly”</w:t>
            </w:r>
          </w:p>
        </w:tc>
        <w:tc>
          <w:tcPr>
            <w:tcW w:w="1870" w:type="dxa"/>
          </w:tcPr>
          <w:p w14:paraId="430BEFB7" w14:textId="5512BF70" w:rsidR="0085568D" w:rsidRDefault="0085568D" w:rsidP="000B5610">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1870" w:type="dxa"/>
          </w:tcPr>
          <w:p w14:paraId="3BF81041" w14:textId="7532C4B4" w:rsidR="0085568D" w:rsidRDefault="0085568D" w:rsidP="000B5610">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“Anomaly”</w:t>
            </w:r>
          </w:p>
        </w:tc>
        <w:tc>
          <w:tcPr>
            <w:tcW w:w="1870" w:type="dxa"/>
          </w:tcPr>
          <w:p w14:paraId="3694601C" w14:textId="1FCD19AB" w:rsidR="0085568D" w:rsidRDefault="0085568D" w:rsidP="000B5610">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12174</w:t>
            </w:r>
          </w:p>
        </w:tc>
      </w:tr>
    </w:tbl>
    <w:p w14:paraId="67C52DA3" w14:textId="0AFBA6F1" w:rsidR="00C06F00" w:rsidRDefault="00C06F00" w:rsidP="000B5610">
      <w:pPr>
        <w:pStyle w:val="TAMainText"/>
        <w:spacing w:after="240"/>
        <w:ind w:firstLine="0"/>
        <w:jc w:val="left"/>
      </w:pPr>
    </w:p>
    <w:p w14:paraId="7340222C" w14:textId="144E5AEF" w:rsidR="00106AF3" w:rsidRDefault="00106AF3" w:rsidP="000B5610">
      <w:pPr>
        <w:pStyle w:val="TAMainText"/>
        <w:spacing w:after="240"/>
        <w:ind w:firstLine="0"/>
        <w:jc w:val="left"/>
      </w:pPr>
    </w:p>
    <w:p w14:paraId="1D03316F" w14:textId="1FFB9760" w:rsidR="00106AF3" w:rsidRDefault="00106AF3" w:rsidP="000B5610">
      <w:pPr>
        <w:pStyle w:val="TAMainText"/>
        <w:spacing w:after="240"/>
        <w:ind w:firstLine="0"/>
        <w:jc w:val="left"/>
      </w:pPr>
    </w:p>
    <w:p w14:paraId="11EAFFBD" w14:textId="396FB90E" w:rsidR="00106AF3" w:rsidRDefault="00106AF3" w:rsidP="000B5610">
      <w:pPr>
        <w:pStyle w:val="TAMainText"/>
        <w:spacing w:after="240"/>
        <w:ind w:firstLine="0"/>
        <w:jc w:val="left"/>
      </w:pPr>
    </w:p>
    <w:p w14:paraId="0E1B24DB" w14:textId="60D0D75E" w:rsidR="00106AF3" w:rsidRDefault="00106AF3" w:rsidP="000B5610">
      <w:pPr>
        <w:pStyle w:val="TAMainText"/>
        <w:spacing w:after="240"/>
        <w:ind w:firstLine="0"/>
        <w:jc w:val="left"/>
      </w:pPr>
    </w:p>
    <w:p w14:paraId="46E32D01" w14:textId="3DCEADC1" w:rsidR="00106AF3" w:rsidRDefault="00106AF3" w:rsidP="000B5610">
      <w:pPr>
        <w:pStyle w:val="TAMainText"/>
        <w:spacing w:after="240"/>
        <w:ind w:firstLine="0"/>
        <w:jc w:val="left"/>
      </w:pPr>
    </w:p>
    <w:p w14:paraId="3CEC8A0C" w14:textId="268E2A49" w:rsidR="00106AF3" w:rsidRDefault="00106AF3" w:rsidP="000B5610">
      <w:pPr>
        <w:pStyle w:val="TAMainText"/>
        <w:spacing w:after="240"/>
        <w:ind w:firstLine="0"/>
        <w:jc w:val="left"/>
      </w:pPr>
    </w:p>
    <w:p w14:paraId="36F8F92E" w14:textId="12BC48D1" w:rsidR="00106AF3" w:rsidRDefault="00106AF3" w:rsidP="000B5610">
      <w:pPr>
        <w:pStyle w:val="TAMainText"/>
        <w:spacing w:after="240"/>
        <w:ind w:firstLine="0"/>
        <w:jc w:val="left"/>
      </w:pPr>
    </w:p>
    <w:p w14:paraId="5C42409F" w14:textId="37B68DA3" w:rsidR="00106AF3" w:rsidRDefault="00106AF3" w:rsidP="000B5610">
      <w:pPr>
        <w:pStyle w:val="TAMainText"/>
        <w:spacing w:after="240"/>
        <w:ind w:firstLine="0"/>
        <w:jc w:val="left"/>
      </w:pPr>
    </w:p>
    <w:p w14:paraId="63E82180" w14:textId="23256194" w:rsidR="009246AD" w:rsidRDefault="009246AD" w:rsidP="000B5610">
      <w:pPr>
        <w:pStyle w:val="SNSynopsisTOC"/>
        <w:spacing w:after="240"/>
        <w:jc w:val="left"/>
      </w:pPr>
    </w:p>
    <w:sectPr w:rsidR="009246AD" w:rsidSect="001256E4">
      <w:footerReference w:type="even" r:id="rId13"/>
      <w:footerReference w:type="default" r:id="rId14"/>
      <w:type w:val="continuous"/>
      <w:pgSz w:w="12240" w:h="15840"/>
      <w:pgMar w:top="1440" w:right="1440" w:bottom="1440" w:left="1440" w:header="0" w:footer="0" w:gutter="0"/>
      <w:lnNumType w:countBy="1" w:restart="continuous"/>
      <w:cols w:space="47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30021" w14:textId="77777777" w:rsidR="000A5411" w:rsidRDefault="000A5411">
      <w:r>
        <w:separator/>
      </w:r>
    </w:p>
  </w:endnote>
  <w:endnote w:type="continuationSeparator" w:id="0">
    <w:p w14:paraId="0BAA55A2" w14:textId="77777777" w:rsidR="000A5411" w:rsidRDefault="000A5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3F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DFC5BFC"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4AF3"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42F0">
      <w:rPr>
        <w:rStyle w:val="PageNumber"/>
        <w:noProof/>
      </w:rPr>
      <w:t>1</w:t>
    </w:r>
    <w:r>
      <w:rPr>
        <w:rStyle w:val="PageNumber"/>
      </w:rPr>
      <w:fldChar w:fldCharType="end"/>
    </w:r>
  </w:p>
  <w:p w14:paraId="55093ED7"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E5D38" w14:textId="77777777" w:rsidR="000A5411" w:rsidRDefault="000A5411">
      <w:r>
        <w:separator/>
      </w:r>
    </w:p>
  </w:footnote>
  <w:footnote w:type="continuationSeparator" w:id="0">
    <w:p w14:paraId="59578F3B" w14:textId="77777777" w:rsidR="000A5411" w:rsidRDefault="000A5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575F"/>
    <w:multiLevelType w:val="hybridMultilevel"/>
    <w:tmpl w:val="4D926EB0"/>
    <w:lvl w:ilvl="0" w:tplc="0409000F">
      <w:start w:val="1"/>
      <w:numFmt w:val="decimal"/>
      <w:lvlText w:val="%1."/>
      <w:lvlJc w:val="left"/>
      <w:pPr>
        <w:tabs>
          <w:tab w:val="num" w:pos="562"/>
        </w:tabs>
        <w:ind w:left="56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2"/>
  </w:num>
  <w:num w:numId="9">
    <w:abstractNumId w:val="1"/>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0D"/>
    <w:rsid w:val="000002F2"/>
    <w:rsid w:val="000360B6"/>
    <w:rsid w:val="0005660F"/>
    <w:rsid w:val="000702AD"/>
    <w:rsid w:val="000833FE"/>
    <w:rsid w:val="000A5411"/>
    <w:rsid w:val="000B2EEB"/>
    <w:rsid w:val="000B5610"/>
    <w:rsid w:val="000C05CC"/>
    <w:rsid w:val="00106AF3"/>
    <w:rsid w:val="001256E4"/>
    <w:rsid w:val="00195ACA"/>
    <w:rsid w:val="001A4CC7"/>
    <w:rsid w:val="001A7A90"/>
    <w:rsid w:val="001D59F8"/>
    <w:rsid w:val="00212B1D"/>
    <w:rsid w:val="002169F8"/>
    <w:rsid w:val="00271A02"/>
    <w:rsid w:val="002A7493"/>
    <w:rsid w:val="002C3431"/>
    <w:rsid w:val="0031373B"/>
    <w:rsid w:val="00324128"/>
    <w:rsid w:val="0034470D"/>
    <w:rsid w:val="00355954"/>
    <w:rsid w:val="00361E35"/>
    <w:rsid w:val="00362C05"/>
    <w:rsid w:val="003664E9"/>
    <w:rsid w:val="003679A1"/>
    <w:rsid w:val="003A42F0"/>
    <w:rsid w:val="003B4AF3"/>
    <w:rsid w:val="003E1F76"/>
    <w:rsid w:val="00475FD2"/>
    <w:rsid w:val="004E283C"/>
    <w:rsid w:val="004E7185"/>
    <w:rsid w:val="005553EF"/>
    <w:rsid w:val="00567E81"/>
    <w:rsid w:val="005711E4"/>
    <w:rsid w:val="00591A57"/>
    <w:rsid w:val="005A32D7"/>
    <w:rsid w:val="005D0C10"/>
    <w:rsid w:val="006455A5"/>
    <w:rsid w:val="00683131"/>
    <w:rsid w:val="006A3E34"/>
    <w:rsid w:val="006B2581"/>
    <w:rsid w:val="007000D9"/>
    <w:rsid w:val="00747701"/>
    <w:rsid w:val="00755991"/>
    <w:rsid w:val="007629D3"/>
    <w:rsid w:val="00794616"/>
    <w:rsid w:val="007A11AD"/>
    <w:rsid w:val="008047DE"/>
    <w:rsid w:val="0085568D"/>
    <w:rsid w:val="008633FA"/>
    <w:rsid w:val="008655C0"/>
    <w:rsid w:val="0087404C"/>
    <w:rsid w:val="008D30F9"/>
    <w:rsid w:val="008D53B2"/>
    <w:rsid w:val="00912169"/>
    <w:rsid w:val="0092037A"/>
    <w:rsid w:val="009246AD"/>
    <w:rsid w:val="009C46AB"/>
    <w:rsid w:val="009F2E7E"/>
    <w:rsid w:val="00A02D62"/>
    <w:rsid w:val="00A20EB5"/>
    <w:rsid w:val="00A63C5F"/>
    <w:rsid w:val="00A764EF"/>
    <w:rsid w:val="00AB34C5"/>
    <w:rsid w:val="00AF4F6D"/>
    <w:rsid w:val="00AF7F6A"/>
    <w:rsid w:val="00B05A88"/>
    <w:rsid w:val="00B36554"/>
    <w:rsid w:val="00B44641"/>
    <w:rsid w:val="00B7618D"/>
    <w:rsid w:val="00BD2C44"/>
    <w:rsid w:val="00BD62FA"/>
    <w:rsid w:val="00C06F00"/>
    <w:rsid w:val="00C10EE0"/>
    <w:rsid w:val="00C12556"/>
    <w:rsid w:val="00C6170A"/>
    <w:rsid w:val="00D318E5"/>
    <w:rsid w:val="00D32E24"/>
    <w:rsid w:val="00DD6DBB"/>
    <w:rsid w:val="00E074F2"/>
    <w:rsid w:val="00E80056"/>
    <w:rsid w:val="00E805D9"/>
    <w:rsid w:val="00E91482"/>
    <w:rsid w:val="00E96302"/>
    <w:rsid w:val="00EE5461"/>
    <w:rsid w:val="00EF717B"/>
    <w:rsid w:val="00F134F5"/>
    <w:rsid w:val="00F313BE"/>
    <w:rsid w:val="00F47B85"/>
    <w:rsid w:val="00F54BDD"/>
    <w:rsid w:val="00F5645C"/>
    <w:rsid w:val="00F63451"/>
    <w:rsid w:val="00F637EF"/>
    <w:rsid w:val="00FE1F1D"/>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381EF5"/>
  <w15:docId w15:val="{598D839B-F980-4270-9A51-35496793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jc w:val="both"/>
    </w:pPr>
    <w:rPr>
      <w:rFonts w:ascii="Times" w:hAnsi="Times"/>
      <w:sz w:val="24"/>
    </w:rPr>
  </w:style>
  <w:style w:type="paragraph" w:styleId="Heading1">
    <w:name w:val="heading 1"/>
    <w:basedOn w:val="Normal"/>
    <w:next w:val="Normal"/>
    <w:link w:val="Heading1Char"/>
    <w:qFormat/>
    <w:rsid w:val="001A4CC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customStyle="1" w:styleId="Heading1Char">
    <w:name w:val="Heading 1 Char"/>
    <w:basedOn w:val="DefaultParagraphFont"/>
    <w:link w:val="Heading1"/>
    <w:rsid w:val="001A4CC7"/>
    <w:rPr>
      <w:rFonts w:asciiTheme="majorHAnsi" w:eastAsiaTheme="majorEastAsia" w:hAnsiTheme="majorHAnsi" w:cstheme="majorBidi"/>
      <w:color w:val="365F91" w:themeColor="accent1" w:themeShade="BF"/>
      <w:sz w:val="32"/>
      <w:szCs w:val="32"/>
    </w:rPr>
  </w:style>
  <w:style w:type="character" w:styleId="LineNumber">
    <w:name w:val="line number"/>
    <w:basedOn w:val="DefaultParagraphFont"/>
    <w:semiHidden/>
    <w:unhideWhenUsed/>
    <w:rsid w:val="001256E4"/>
  </w:style>
  <w:style w:type="table" w:styleId="PlainTable3">
    <w:name w:val="Plain Table 3"/>
    <w:basedOn w:val="TableNormal"/>
    <w:uiPriority w:val="43"/>
    <w:rsid w:val="007559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637E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rsid w:val="00355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59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73032">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griffin@rwu.edu"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AppData\Roaming\Microsoft\Templates\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acstemplate_msw2010</Template>
  <TotalTime>249</TotalTime>
  <Pages>11</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4234</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Blake</dc:creator>
  <cp:keywords/>
  <cp:lastModifiedBy>Blake Actkinson</cp:lastModifiedBy>
  <cp:revision>10</cp:revision>
  <cp:lastPrinted>2008-06-11T21:33:00Z</cp:lastPrinted>
  <dcterms:created xsi:type="dcterms:W3CDTF">2022-03-26T21:50:00Z</dcterms:created>
  <dcterms:modified xsi:type="dcterms:W3CDTF">2022-03-31T19:32:00Z</dcterms:modified>
</cp:coreProperties>
</file>