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78AD7" w14:textId="77777777" w:rsidR="00A80EF3" w:rsidRDefault="00A80EF3" w:rsidP="00A80EF3">
      <w:pPr>
        <w:pStyle w:val="Heading1"/>
      </w:pPr>
    </w:p>
    <w:p w14:paraId="1B862868" w14:textId="77777777" w:rsidR="00A80EF3" w:rsidRPr="00AB2E95" w:rsidRDefault="00A80EF3" w:rsidP="00A80EF3">
      <w:pPr>
        <w:pStyle w:val="TOCHeading"/>
      </w:pPr>
      <w:bookmarkStart w:id="0" w:name="_Toc95476705"/>
      <w:r>
        <w:t>Improving principal component analysis through dynamic components</w:t>
      </w:r>
      <w:bookmarkEnd w:id="0"/>
    </w:p>
    <w:p w14:paraId="04C8F082" w14:textId="77777777" w:rsidR="00A80EF3" w:rsidRDefault="00A80EF3" w:rsidP="00A80EF3">
      <w:pPr>
        <w:pStyle w:val="Heading2"/>
      </w:pPr>
      <w:bookmarkStart w:id="1" w:name="_Toc95476706"/>
      <w:r>
        <w:t>Introduction and Background</w:t>
      </w:r>
      <w:bookmarkEnd w:id="1"/>
    </w:p>
    <w:p w14:paraId="2BBF4CB9" w14:textId="77777777" w:rsidR="00A80EF3" w:rsidRDefault="00A80EF3" w:rsidP="00A80EF3">
      <w:r>
        <w:t xml:space="preserve">A central question of air quality studies is to determine what chemical and/or meteorological processes contributed to measured pollutants. The question is important because determining what explains pollutant concentrations measured at a given monitor enables appropriate enforcement to lower those concentrations to occur. </w:t>
      </w:r>
    </w:p>
    <w:p w14:paraId="64EF1019" w14:textId="77777777" w:rsidR="00A80EF3" w:rsidRDefault="00A80EF3" w:rsidP="00A80EF3">
      <w:r>
        <w:t>Since it is practically impossible to know the position of every particle from when it is emitted to when it hits the monitor, many have turned to mathematical models to address the question of where pollutants come from.</w:t>
      </w:r>
      <w:r>
        <w:fldChar w:fldCharType="begin"/>
      </w:r>
      <w:r>
        <w:instrText xml:space="preserve"> ADDIN ZOTERO_ITEM CSL_CITATION {"citationID":"PFksm3H8","properties":{"formattedCitation":"\\super 15,16\\nosupersub{}","plainCitation":"15,16","noteIndex":0},"citationItems":[{"id":58,"uris":["http://zotero.org/users/4282478/items/I7M9CPTB"],"uri":["http://zotero.org/users/4282478/items/I7M9CPTB"],"itemData":{"id":58,"type":"book","abstract":"Expanded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N."}],"issued":{"date-parts":[["2016",4,4]]}}},{"id":654,"uris":["http://zotero.org/users/4282478/items/8DSAVW7V"],"uri":["http://zotero.org/users/4282478/items/8DSAVW7V"],"itemData":{"id":654,"type":"article-journal","abstract":"Efforts have been made to relate measured concentrations of airborne constituents to their origins for more than 50 years. During this time interval, there have been developments in the measurement technology to gather highly time-resolved, detailed chemical compositional data. Similarly, the improvements in computers have permitted a parallel development of data analysis tools that permit the extraction of information from these data. There is now a substantial capability to provide useful insights into the sources of pollutants and their atmospheric processing that can help inform air quality management options. Efforts have been made to combine receptor and chemical transport models to provide improved apportionments. Tools are available to utilize limited numbers of known profiles with the ambient data to obtain more accurate apportionments for targeted sources. In addition, tools are in place to allow more advanced models to be fitted to the data based on conceptual models of the nature of the sources and the sampling/analytical approach. Each of the approaches has its strengths and weaknesses. However, the field as a whole suffers from a lack of measurements of source emission compositions. There has not been an active effort to develop source profiles for stationary sources for a long time, and with many significant sources built in developing countries, the lack of local profiles is a serious problem in effective source apportionment. The field is now relatively mature in terms of its methods and its ability to adapt to new measurement technologies, so that we can be assured of a high likelihood of extracting the maximal information from the collected data.Implications: Efforts have been made over the past 50 years to use air quality data to estimate the influence of air pollution sources. These methods are now relatively mature and many are readily accessible through publically available software. This review examines the development of receptor models and the current state of the art in extracting source identification and apportionments from ambient air quality data.","container-title":"Journal of the Air &amp; Waste Management Association","DOI":"10.1080/10962247.2016.1140693","ISSN":"1096-2247","issue":"3","note":"publisher: Taylor &amp; Francis\n_eprint: https://doi.org/10.1080/10962247.2016.1140693\nPMID: 26756961","page":"237-259","source":"Taylor and Francis+NEJM","title":"Review of receptor modeling methods for source apportionment","volume":"66","author":[{"family":"Hopke","given":"Philip K."}],"issued":{"date-parts":[["2016",3,3]]}}}],"schema":"https://github.com/citation-style-language/schema/raw/master/csl-citation.json"} </w:instrText>
      </w:r>
      <w:r>
        <w:fldChar w:fldCharType="separate"/>
      </w:r>
      <w:r w:rsidRPr="001018CC">
        <w:rPr>
          <w:rFonts w:ascii="Cambria" w:hAnsi="Cambria" w:cs="Times New Roman"/>
          <w:szCs w:val="24"/>
          <w:vertAlign w:val="superscript"/>
        </w:rPr>
        <w:t>15,16</w:t>
      </w:r>
      <w:r>
        <w:fldChar w:fldCharType="end"/>
      </w:r>
      <w:r>
        <w:t xml:space="preserve"> One such statistical model is Principal Component Analysis (PCA). An early use of PCA was by </w:t>
      </w:r>
      <w:proofErr w:type="spellStart"/>
      <w:r>
        <w:t>Blifford</w:t>
      </w:r>
      <w:proofErr w:type="spellEnd"/>
      <w:r>
        <w:t xml:space="preserve"> et al. in 1967 to explain air pollutant concentrations taken by the U.S. Public Health Service. </w:t>
      </w:r>
      <w:proofErr w:type="spellStart"/>
      <w:r>
        <w:t>Blifford</w:t>
      </w:r>
      <w:proofErr w:type="spellEnd"/>
      <w:r>
        <w:t xml:space="preserve"> et al. argued that around 70% of </w:t>
      </w:r>
      <w:r>
        <w:lastRenderedPageBreak/>
        <w:t>the measured pollutant concentrations could be explained by heavy industry, automobiles, fuel burning, and petroleum refining from their PCA results.</w:t>
      </w:r>
      <w:r>
        <w:fldChar w:fldCharType="begin"/>
      </w:r>
      <w:r>
        <w:instrText xml:space="preserve"> ADDIN ZOTERO_ITEM CSL_CITATION {"citationID":"nxGIh7If","properties":{"formattedCitation":"\\super 17\\nosupersub{}","plainCitation":"17","noteIndex":0},"citationItems":[{"id":642,"uris":["http://zotero.org/users/4282478/items/8DZIVPPQ"],"uri":["http://zotero.org/users/4282478/items/8DZIVPPQ"],"itemData":{"id":642,"type":"article-journal","abstract":"Based on data obtained from the U.S. Public Health Service National Air Sampling Network for the years 1957–1961, factor analysis techniques were used to produce a pollution model for 30 U.S. cities. Orthogonal models obtained from Varimax and Quartimax solutions and an oblique solution (Oblimax) were similar. The first four principal factors were tentatively assigned to pollution from (I) heavy industry, (II) automobiles, (III) fuel burning, and (IV) petroleum refining on the basis of their chemical composition. These four factors account for about 70 per cent of the variance while another 20 per cent appears to be due to widespread use of plating materials. Regression of the derived factors (factor scores) on the 30 sampling locations indicates general agreement with the known character of the sites and with other studies of individual pollution components.","container-title":"Atmospheric Environment (1967)","DOI":"10.1016/0004-6981(67)90042-X","ISSN":"0004-6981","issue":"2","journalAbbreviation":"Atmospheric Environment (1967)","language":"en","page":"147-157","source":"ScienceDirect","title":"A factor analysis model of large scale pollution","volume":"1","author":[{"family":"Blifford","given":"Irving H."},{"family":"Meeker","given":"Gary O."}],"issued":{"date-parts":[["1967",3,1]]}}}],"schema":"https://github.com/citation-style-language/schema/raw/master/csl-citation.json"} </w:instrText>
      </w:r>
      <w:r>
        <w:fldChar w:fldCharType="separate"/>
      </w:r>
      <w:r w:rsidRPr="009731AC">
        <w:rPr>
          <w:rFonts w:ascii="Cambria" w:hAnsi="Cambria" w:cs="Times New Roman"/>
          <w:szCs w:val="24"/>
          <w:vertAlign w:val="superscript"/>
        </w:rPr>
        <w:t>17</w:t>
      </w:r>
      <w:r>
        <w:fldChar w:fldCharType="end"/>
      </w:r>
      <w:r>
        <w:t xml:space="preserve"> After it was realized that other statistical techniques such as Ordinary Least Squares regression were unsuitable due to air quality data having inherent uncertainties in both dependent and independent variables,</w:t>
      </w:r>
      <w:r>
        <w:fldChar w:fldCharType="begin"/>
      </w:r>
      <w:r>
        <w:instrText xml:space="preserve"> ADDIN ZOTERO_ITEM CSL_CITATION {"citationID":"Z8iZDG8P","properties":{"formattedCitation":"\\super 16\\nosupersub{}","plainCitation":"16","noteIndex":0},"citationItems":[{"id":654,"uris":["http://zotero.org/users/4282478/items/8DSAVW7V"],"uri":["http://zotero.org/users/4282478/items/8DSAVW7V"],"itemData":{"id":654,"type":"article-journal","abstract":"Efforts have been made to relate measured concentrations of airborne constituents to their origins for more than 50 years. During this time interval, there have been developments in the measurement technology to gather highly time-resolved, detailed chemical compositional data. Similarly, the improvements in computers have permitted a parallel development of data analysis tools that permit the extraction of information from these data. There is now a substantial capability to provide useful insights into the sources of pollutants and their atmospheric processing that can help inform air quality management options. Efforts have been made to combine receptor and chemical transport models to provide improved apportionments. Tools are available to utilize limited numbers of known profiles with the ambient data to obtain more accurate apportionments for targeted sources. In addition, tools are in place to allow more advanced models to be fitted to the data based on conceptual models of the nature of the sources and the sampling/analytical approach. Each of the approaches has its strengths and weaknesses. However, the field as a whole suffers from a lack of measurements of source emission compositions. There has not been an active effort to develop source profiles for stationary sources for a long time, and with many significant sources built in developing countries, the lack of local profiles is a serious problem in effective source apportionment. The field is now relatively mature in terms of its methods and its ability to adapt to new measurement technologies, so that we can be assured of a high likelihood of extracting the maximal information from the collected data.Implications: Efforts have been made over the past 50 years to use air quality data to estimate the influence of air pollution sources. These methods are now relatively mature and many are readily accessible through publically available software. This review examines the development of receptor models and the current state of the art in extracting source identification and apportionments from ambient air quality data.","container-title":"Journal of the Air &amp; Waste Management Association","DOI":"10.1080/10962247.2016.1140693","ISSN":"1096-2247","issue":"3","note":"publisher: Taylor &amp; Francis\n_eprint: https://doi.org/10.1080/10962247.2016.1140693\nPMID: 26756961","page":"237-259","source":"Taylor and Francis+NEJM","title":"Review of receptor modeling methods for source apportionment","volume":"66","author":[{"family":"Hopke","given":"Philip K."}],"issued":{"date-parts":[["2016",3,3]]}}}],"schema":"https://github.com/citation-style-language/schema/raw/master/csl-citation.json"} </w:instrText>
      </w:r>
      <w:r>
        <w:fldChar w:fldCharType="separate"/>
      </w:r>
      <w:r w:rsidRPr="00D537E4">
        <w:rPr>
          <w:rFonts w:ascii="Cambria" w:hAnsi="Cambria" w:cs="Times New Roman"/>
          <w:szCs w:val="24"/>
          <w:vertAlign w:val="superscript"/>
        </w:rPr>
        <w:t>16</w:t>
      </w:r>
      <w:r>
        <w:fldChar w:fldCharType="end"/>
      </w:r>
      <w:r>
        <w:t xml:space="preserve"> PCA was taken up in earnest, being used by Henry and </w:t>
      </w:r>
      <w:proofErr w:type="spellStart"/>
      <w:r>
        <w:t>Hidy</w:t>
      </w:r>
      <w:proofErr w:type="spellEnd"/>
      <w:r>
        <w:t xml:space="preserve"> to analyze particulate sulfate sources in New York and Los Angeles,</w:t>
      </w:r>
      <w:r>
        <w:fldChar w:fldCharType="begin"/>
      </w:r>
      <w:r>
        <w:instrText xml:space="preserve"> ADDIN ZOTERO_ITEM CSL_CITATION {"citationID":"i1ixbEWe","properties":{"formattedCitation":"\\super 18\\nosupersub{}","plainCitation":"18","noteIndex":0},"citationItems":[{"id":101,"uris":["http://zotero.org/users/4282478/items/EH89Y5S2"],"uri":["http://zotero.org/users/4282478/items/EH89Y5S2"],"itemData":{"id":101,"type":"article-journal","abstract":"A multivariate statistical analysis of particulate sulfate, meteorological and air quality data is presented for the Los Angeles and New York City areas. The particulate data are from the Community Health Air Monitoring Program (CHAMP). Other aerometric parameters gathered at nearby sites were assembled with the particulate data to produce a comprehensive data set. The highly intercorrelated nature of many of the variables, oxidant and maximum temperature, for example, can make the results of ordinary regression techniques uncertain. The application of Principal Component Analysis (PCA) to the data set (not including sulfate) produces statistically independent linear combinations of the original variables. The sulfate values are then regressed on these independent parameters. It is found that only three components are necessary to account for 50% of the variability of all the variables. These components can be interpreted physically as indicative of the balance of influences of photochemical and other chemical processes, sulfur dioxide sources and atmospheric dispersion and transport. In southern California, the PCA indicates that ambient SO2 and dispersion factors are unimportant in explaining sulfate variability. Instead, factors associated with photochemical activity and atmospheric moisture content account for more than half the sulfate variation. This agrees with previous analyses of Los Angeles data. In New York a similar photochemical component is found. However, dispersion and sulfur dioxide concentration are also important in explaining sulfate variability. A method is derived which relates regression coefficients of sulfate, sulfur dioxide regression to apparent, first order transformation rates of sulfur dioxide to sulfate. Maximum apparent transformation rates in Los Angeles are in the range of 4–10% h, but are about 10 times smaller in New York.","container-title":"Atmospheric Environment (1967)","DOI":"10.1016/0004-6981(79)90068-4","ISSN":"0004-6981","issue":"11","journalAbbreviation":"Atmospheric Environment (1967)","language":"en","page":"1581-1596","source":"ScienceDirect","title":"Multivariate analysis of particulate sulfate and other air quality variables by principal components-Part I: Annual data from Los Angeles and New York","title-short":"Multivariate analysis of particulate sulfate and other air quality variables by principal components-Part I","volume":"13","author":[{"family":"Henry","given":"R. C."},{"family":"Hidy","given":"G. M."}],"issued":{"date-parts":[["1979",1,1]]}}}],"schema":"https://github.com/citation-style-language/schema/raw/master/csl-citation.json"} </w:instrText>
      </w:r>
      <w:r>
        <w:fldChar w:fldCharType="separate"/>
      </w:r>
      <w:r w:rsidRPr="009731AC">
        <w:rPr>
          <w:rFonts w:ascii="Cambria" w:hAnsi="Cambria" w:cs="Times New Roman"/>
          <w:szCs w:val="24"/>
          <w:vertAlign w:val="superscript"/>
        </w:rPr>
        <w:t>18</w:t>
      </w:r>
      <w:r>
        <w:fldChar w:fldCharType="end"/>
      </w:r>
      <w:r>
        <w:t xml:space="preserve"> Buhr et al. to assess emission ratios from different sources in a field in Pennsylvania,</w:t>
      </w:r>
      <w:r>
        <w:fldChar w:fldCharType="begin"/>
      </w:r>
      <w:r>
        <w:instrText xml:space="preserve"> ADDIN ZOTERO_ITEM CSL_CITATION {"citationID":"E1mBll4l","properties":{"formattedCitation":"\\super 19\\nosupersub{}","plainCitation":"19","noteIndex":0},"citationItems":[{"id":19,"uris":["http://zotero.org/users/4282478/items/FELN55D5"],"uri":["http://zotero.org/users/4282478/items/FELN55D5"],"itemData":{"id":19,"type":"article-journal","abstract":"The emission ratios of [CO]/[NOx] and [SO2]/[NOx] in point and area type sources in the northeastern United States are estimated through a combination of principal component and bivariate regression analyses of concurrent measurements of [CO], [SO2], [NOx], and [NOy] made at a rural Pennsylvania field site during the summer of 1988. Principal component analysis is used to identify time periods when the covariation of [NOy] with either [CO] or [SO2] indicates that the air mass was dominated by emissions from either area or point type sources, respectively. A regression analysis is used to extrapolate the observed pollutant ratios to the emission ratios. The resulting emission ratios compare reasonably well with emission ratios derived from the 1985 NAPAP (National Acid Precipitation Assessment Program) emissions inventory, although this analysis indicates that the NAPAP inventory may underestimate the [CO]/[NOx] emission ratio for area sources by a factor of 1.0 to 2.2 (95% confidence limits).","container-title":"Geophysical Research Letters","DOI":"10.1029/92GL01020","ISSN":"1944-8007","issue":"10","language":"en","note":"_eprint: https://agupubs.onlinelibrary.wiley.com/doi/pdf/10.1029/92GL01020","page":"1009-1012","source":"Wiley Online Library","title":"Assessment of pollutant emission inventories by principal component analysis of ambient air measurements","volume":"19","author":[{"family":"Buhr","given":"M. P."},{"family":"Trainer","given":"M."},{"family":"Parrish","given":"D. D."},{"family":"Sievers","given":"R. E."},{"family":"Fehsenfeld","given":"F. C."}],"issued":{"date-parts":[["1992"]]}}}],"schema":"https://github.com/citation-style-language/schema/raw/master/csl-citation.json"} </w:instrText>
      </w:r>
      <w:r>
        <w:fldChar w:fldCharType="separate"/>
      </w:r>
      <w:r w:rsidRPr="009731AC">
        <w:rPr>
          <w:rFonts w:ascii="Cambria" w:hAnsi="Cambria" w:cs="Times New Roman"/>
          <w:szCs w:val="24"/>
          <w:vertAlign w:val="superscript"/>
        </w:rPr>
        <w:t>19</w:t>
      </w:r>
      <w:r>
        <w:fldChar w:fldCharType="end"/>
      </w:r>
      <w:r>
        <w:t xml:space="preserve"> and </w:t>
      </w:r>
      <w:proofErr w:type="spellStart"/>
      <w:r>
        <w:t>Hopke</w:t>
      </w:r>
      <w:proofErr w:type="spellEnd"/>
      <w:r>
        <w:t xml:space="preserve"> et al. to analyze sources of particulate material in Boston’s urban aerosol.</w:t>
      </w:r>
      <w:r>
        <w:fldChar w:fldCharType="begin"/>
      </w:r>
      <w:r>
        <w:instrText xml:space="preserve"> ADDIN ZOTERO_ITEM CSL_CITATION {"citationID":"QIrnXiuJ","properties":{"formattedCitation":"\\super 20\\nosupersub{}","plainCitation":"20","noteIndex":0},"citationItems":[{"id":647,"uris":["http://zotero.org/users/4282478/items/JWUV6HVG"],"uri":["http://zotero.org/users/4282478/items/JWUV6HVG"],"itemData":{"id":647,"type":"article-journal","abstract":"The concentrations of eighteen elements were determined by instrumental neutron activation analysis for samples of air particulates collected over a five month period in the Boston metropolitan area. This set of data is analyzed for underlying structure by the methods of common factor analysis and hierarchial aggregative cluster analysis. The data can be interpreted on the basis of six common factors accounting for 77.5% of the total variance in the system. These factors are attributed to various sources of particulate material by noting the dependence of the factors on the elements. The cluster analysis assists in the interpretation of the factors.","container-title":"Atmospheric Environment (1967)","DOI":"10.1016/0004-6981(76)90211-0","ISSN":"0004-6981","issue":"11","journalAbbreviation":"Atmospheric Environment (1967)","language":"en","page":"1015-1025","source":"ScienceDirect","title":"The use of multivariate analysis to identify sources of selected elements in the Boston urban aerosol","volume":"10","author":[{"family":"Hopke","given":"Philip K."},{"family":"Gladney","given":"Ernest S."},{"family":"Gordon","given":"Glen E."},{"family":"Zoller","given":"William H."},{"family":"Jones","given":"Alun G."}],"issued":{"date-parts":[["1976",1,1]]}}}],"schema":"https://github.com/citation-style-language/schema/raw/master/csl-citation.json"} </w:instrText>
      </w:r>
      <w:r>
        <w:fldChar w:fldCharType="separate"/>
      </w:r>
      <w:r w:rsidRPr="009731AC">
        <w:rPr>
          <w:rFonts w:ascii="Cambria" w:hAnsi="Cambria" w:cs="Times New Roman"/>
          <w:szCs w:val="24"/>
          <w:vertAlign w:val="superscript"/>
        </w:rPr>
        <w:t>20</w:t>
      </w:r>
      <w:r>
        <w:fldChar w:fldCharType="end"/>
      </w:r>
      <w:r>
        <w:t xml:space="preserve"> More recently, it has been used to study different contributions to ozone concentrations.</w:t>
      </w:r>
      <w:r>
        <w:fldChar w:fldCharType="begin"/>
      </w:r>
      <w:r>
        <w:instrText xml:space="preserve"> ADDIN ZOTERO_ITEM CSL_CITATION {"citationID":"YJRtq11x","properties":{"formattedCitation":"\\super 21,22\\nosupersub{}","plainCitation":"21,22","noteIndex":0},"citationItems":[{"id":135,"uris":["http://zotero.org/users/4282478/items/GEHSCBIR"],"uri":["http://zotero.org/users/4282478/items/GEHSCBIR"],"itemData":{"id":135,"type":"article-journal","abstract":"Ozone (O3) in the lower troposphere is harmful to people and plants, particularly during summer, when photochemistry is most active and higher temperatures favor local chemistry. Local precursor emissions, such as those of volatile organic compounds (VOCs) and nitrogen oxides (NOx), together with their chemistry contribute to the O3 and NOx mixing ratios in the Houston–Galveston–Brazoria (HGB) region. In addition to local emissions, chemistry and transport, larger-scale factors also contribute to local O3 and NOx. These additional contributions (often referred to as “regional background”) are not well quantiﬁed within the HGB region, impeding more efﬁcient controls on precursor emissions to achieve compliance with the National Ambient Air Quality Standards for O3. In this study, we estimate groundlevel regional background O3 and NOx in the HGB region and quantify their decadal-scale trends.","container-title":"Atmospheric Chemistry and Physics","DOI":"10.5194/acp-17-6565-2017","ISSN":"1680-7324","issue":"11","journalAbbreviation":"Atmos. Chem. Phys.","language":"en","page":"6565-6581","source":"DOI.org (Crossref)","title":"Regional background O &lt;sub&gt;3&lt;/sub&gt; and NO &lt;sub&gt; &lt;i&gt;x&lt;/i&gt; &lt;/sub&gt; in the Houston–Galveston–Brazoria (TX) region: a decadal-scale perspective","title-short":"Regional background O &lt;sub&gt;3&lt;/sub&gt; and NO &lt;sub&gt; &lt;i&gt;x&lt;/i&gt; &lt;/sub&gt; in the Houston–Galveston–Brazoria (TX) region","volume":"17","author":[{"family":"Suciu","given":"Loredana G."},{"family":"Griffin","given":"Robert J."},{"family":"Masiello","given":"Caroline A."}],"issued":{"date-parts":[["2017",6,2]]}}},{"id":134,"uris":["http://zotero.org/users/4282478/items/FUVGNRAI"],"uri":["http://zotero.org/users/4282478/items/FUVGNRAI"],"itemData":{"id":134,"type":"article-journal","abstract":"Two independent analyses of the daily maximum 8 h average ozone concentrations measured during the high ozone season (May through October) at Continuous Ambient Monitoring Stations are used to quantify the regional background ozone transported into the Houston–Galveston–Brazoria (HGB) area. The dependence on wind direction is examined, and long-term trends are determined using measurements made between 1998 and 2012. Both analyses show that the regional background ozone has declined during periods of continental outflow: i.e., the conditions associated with most high ozone episodes in HGB. The changes in regional background ozone found for northeasterly and southeasterly flow are −0.50 ± 0.54 and −0.79 ± 0.65 (95% confidence limit) ppbv yr–1, respectively, which correspond to decreases of ∼7–11 ppbv between 1998 and 2012. This finding is consistent with the summertime downward trend of −0.45 ppbv yr–1 (range of sites: −0.87 to +0.07 ppbv yr–1) for ozone in the eastern U.S. between 1990 and 2010 reported by Cooper et al. and shows that changing background concentrations are at least partially responsible for the decreased surface ozone in the HGB area over the past decade. Baseline ozone concentrations in air flowing into Texas from the Gulf of Mexico have not changed significantly over this period.","container-title":"Environmental Science &amp; Technology","DOI":"10.1021/es4037644","ISSN":"0013-936X","issue":"24","journalAbbreviation":"Environ. Sci. Technol.","page":"13985-13992","source":"ACS Publications","title":"Magnitude, Decadal Changes, and Impact of Regional Background Ozone Transported into the Greater Houston, Texas, Area","volume":"47","author":[{"family":"Berlin","given":"Shaena R."},{"family":"Langford","given":"Andrew O."},{"family":"Estes","given":"Mark"},{"family":"Dong","given":"Melody"},{"family":"Parrish","given":"David D."}],"issued":{"date-parts":[["2013",12,17]]}}}],"schema":"https://github.com/citation-style-language/schema/raw/master/csl-citation.json"} </w:instrText>
      </w:r>
      <w:r>
        <w:fldChar w:fldCharType="separate"/>
      </w:r>
      <w:r w:rsidRPr="009731AC">
        <w:rPr>
          <w:rFonts w:ascii="Cambria" w:hAnsi="Cambria" w:cs="Times New Roman"/>
          <w:szCs w:val="24"/>
          <w:vertAlign w:val="superscript"/>
        </w:rPr>
        <w:t>21,22</w:t>
      </w:r>
      <w:r>
        <w:fldChar w:fldCharType="end"/>
      </w:r>
      <w:r>
        <w:t>, identify potential relationships between health outcome and air quality variables,</w:t>
      </w:r>
      <w:r>
        <w:fldChar w:fldCharType="begin"/>
      </w:r>
      <w:r>
        <w:instrText xml:space="preserve"> ADDIN ZOTERO_ITEM CSL_CITATION {"citationID":"LStSigjU","properties":{"formattedCitation":"\\super 23\\nosupersub{}","plainCitation":"23","noteIndex":0},"citationItems":[{"id":614,"uris":["http://zotero.org/users/4282478/items/GQGKW7A7"],"uri":["http://zotero.org/users/4282478/items/GQGKW7A7"],"itemData":{"id":614,"type":"article-journal","abstract":"Effects of meteorological variables and air pollutants on child respiratory morbidity are investigated during two consecutive summers (December–March 1992/1993 and 1993/1994) at the Metropolitan Area of São Paulo (MASP), Brazil. The MASP, with almost 17 million inhabitants, is considered the most populous region in South America. Due to warmer temperatures, increased rainfall and consequent low levels of air pollutants during the summer compared to winter, less attention has been paid to epidemiological studies during this season, especially in tropical urban areas such as Sao Paulo. In the present work, principal component analysis (PCA) is applied to medical end environmental data to identify patterns relating child morbidity, meteorological variables and air pollutants during the summer. The following pollutant concentrations are examined: SO2, inhalable particulate matter (PM10), and O3. The meteorological variables investigated are air temperature, water vapor (water vapor density) and solar radiation. Although low correlation between respiratory morbidity and environmental variables are, in general, observed for the entire dataset, the PCA method indicates that child morbidity is positively associated with O3 for the 1992/1993 summer. This pattern is identified in the third principal component (PC3), which explains about 19% of the total variance of all data in this summer. However, the 1993/1994 summer shows a more complex association between both groups, suggesting stronger ties with meteorological variables. Marked changes in synoptic conditions from the end of January to end of March of the 1993/1994 summer seem to have played an important role in modulating respiratory morbidity. A detailed examination of meteorological conditions in that period indicates that prefrontal (postfrontal), hot (cold) and dry (wet) days favored the observed decrease (increase) of respiratory morbidity.","container-title":"Environment International","DOI":"10.1016/j.envint.2004.08.004","ISSN":"0160-4120","issue":"3","journalAbbreviation":"Environment International","language":"en","page":"343-349","source":"ScienceDirect","title":"The effects of air pollution and meteorological parameters on respiratory morbidity during the summer in São Paulo City","volume":"31","author":[{"family":"Gonçalves","given":"F. L. T."},{"family":"Carvalho","given":"L. M. V."},{"family":"Conde","given":"F. C."},{"family":"Latorre","given":"M. R. D. O."},{"family":"Saldiva","given":"P. H. N."},{"family":"Braga","given":"A. L. F"}],"issued":{"date-parts":[["2005",4,1]]}}}],"schema":"https://github.com/citation-style-language/schema/raw/master/csl-citation.json"} </w:instrText>
      </w:r>
      <w:r>
        <w:fldChar w:fldCharType="separate"/>
      </w:r>
      <w:r w:rsidRPr="009731AC">
        <w:rPr>
          <w:rFonts w:ascii="Cambria" w:hAnsi="Cambria" w:cs="Times New Roman"/>
          <w:szCs w:val="24"/>
          <w:vertAlign w:val="superscript"/>
        </w:rPr>
        <w:t>23</w:t>
      </w:r>
      <w:r>
        <w:fldChar w:fldCharType="end"/>
      </w:r>
      <w:r>
        <w:t xml:space="preserve"> and as inputs into artificial neural networks to predict hourly ozone concentrations.</w:t>
      </w:r>
      <w:r>
        <w:fldChar w:fldCharType="begin"/>
      </w:r>
      <w:r>
        <w:instrText xml:space="preserve"> ADDIN ZOTERO_ITEM CSL_CITATION {"citationID":"vPZhSLnI","properties":{"formattedCitation":"\\super 24\\nosupersub{}","plainCitation":"24","noteIndex":0},"citationItems":[{"id":616,"uris":["http://zotero.org/users/4282478/items/PLXXVQP6"],"uri":["http://zotero.org/users/4282478/items/PLXXVQP6"],"itemData":{"id":616,"type":"article-journal","abstract":"The prediction of tropospheric ozone concentrations is very important due to the negative impacts of ozone on human health, climate and vegetation. The development of models to predict ozone concentrations is thus very useful because it can provide early warnings to the population and also reduce the number of measuring sites. The aim of this study was to predict next day hourly ozone concentrations through a new methodology based on feedforward artificial neural networks using principal components as inputs. The developed model was compared with multiple linear regression, feedforward artificial neural networks based on the original data and also with principal component regression. Results showed that the use of principal components as inputs improved both models prediction by reducing their complexity and eliminating data collinearity.","container-title":"Environmental Modelling &amp; Software","DOI":"10.1016/j.envsoft.2005.12.002","ISSN":"1364-8152","issue":"1","journalAbbreviation":"Environmental Modelling &amp; Software","language":"en","page":"97-103","source":"ScienceDirect","title":"Multiple linear regression and artificial neural networks based on principal components to predict ozone concentrations","volume":"22","author":[{"family":"Sousa","given":"S. I. V."},{"family":"Martins","given":"F. G."},{"family":"Alvim-Ferraz","given":"M. C. M."},{"family":"Pereira","given":"M. C."}],"issued":{"date-parts":[["2007",1,1]]}}}],"schema":"https://github.com/citation-style-language/schema/raw/master/csl-citation.json"} </w:instrText>
      </w:r>
      <w:r>
        <w:fldChar w:fldCharType="separate"/>
      </w:r>
      <w:r w:rsidRPr="009731AC">
        <w:rPr>
          <w:rFonts w:ascii="Cambria" w:hAnsi="Cambria" w:cs="Times New Roman"/>
          <w:szCs w:val="24"/>
          <w:vertAlign w:val="superscript"/>
        </w:rPr>
        <w:t>24</w:t>
      </w:r>
      <w:r>
        <w:fldChar w:fldCharType="end"/>
      </w:r>
      <w:r>
        <w:t xml:space="preserve">  </w:t>
      </w:r>
    </w:p>
    <w:p w14:paraId="42498671" w14:textId="77777777" w:rsidR="00A80EF3" w:rsidRDefault="00A80EF3" w:rsidP="00A80EF3">
      <w:r>
        <w:t>However, it was recognized that PCA had many limitations that needed to be  addressed in air quality applications.</w:t>
      </w:r>
      <w:r>
        <w:fldChar w:fldCharType="begin"/>
      </w:r>
      <w:r>
        <w:instrText xml:space="preserve"> ADDIN ZOTERO_ITEM CSL_CITATION {"citationID":"bTcNJih9","properties":{"formattedCitation":"\\super 16\\nosupersub{}","plainCitation":"16","noteIndex":0},"citationItems":[{"id":654,"uris":["http://zotero.org/users/4282478/items/8DSAVW7V"],"uri":["http://zotero.org/users/4282478/items/8DSAVW7V"],"itemData":{"id":654,"type":"article-journal","abstract":"Efforts have been made to relate measured concentrations of airborne constituents to their origins for more than 50 years. During this time interval, there have been developments in the measurement technology to gather highly time-resolved, detailed chemical compositional data. Similarly, the improvements in computers have permitted a parallel development of data analysis tools that permit the extraction of information from these data. There is now a substantial capability to provide useful insights into the sources of pollutants and their atmospheric processing that can help inform air quality management options. Efforts have been made to combine receptor and chemical transport models to provide improved apportionments. Tools are available to utilize limited numbers of known profiles with the ambient data to obtain more accurate apportionments for targeted sources. In addition, tools are in place to allow more advanced models to be fitted to the data based on conceptual models of the nature of the sources and the sampling/analytical approach. Each of the approaches has its strengths and weaknesses. However, the field as a whole suffers from a lack of measurements of source emission compositions. There has not been an active effort to develop source profiles for stationary sources for a long time, and with many significant sources built in developing countries, the lack of local profiles is a serious problem in effective source apportionment. The field is now relatively mature in terms of its methods and its ability to adapt to new measurement technologies, so that we can be assured of a high likelihood of extracting the maximal information from the collected data.Implications: Efforts have been made over the past 50 years to use air quality data to estimate the influence of air pollution sources. These methods are now relatively mature and many are readily accessible through publically available software. This review examines the development of receptor models and the current state of the art in extracting source identification and apportionments from ambient air quality data.","container-title":"Journal of the Air &amp; Waste Management Association","DOI":"10.1080/10962247.2016.1140693","ISSN":"1096-2247","issue":"3","note":"publisher: Taylor &amp; Francis\n_eprint: https://doi.org/10.1080/10962247.2016.1140693\nPMID: 26756961","page":"237-259","source":"Taylor and Francis+NEJM","title":"Review of receptor modeling methods for source apportionment","volume":"66","author":[{"family":"Hopke","given":"Philip K."}],"issued":{"date-parts":[["2016",3,3]]}}}],"schema":"https://github.com/citation-style-language/schema/raw/master/csl-citation.json"} </w:instrText>
      </w:r>
      <w:r>
        <w:fldChar w:fldCharType="separate"/>
      </w:r>
      <w:r w:rsidRPr="009763D9">
        <w:rPr>
          <w:rFonts w:ascii="Cambria" w:hAnsi="Cambria" w:cs="Times New Roman"/>
          <w:szCs w:val="24"/>
          <w:vertAlign w:val="superscript"/>
        </w:rPr>
        <w:t>16</w:t>
      </w:r>
      <w:r>
        <w:fldChar w:fldCharType="end"/>
      </w:r>
      <w:r>
        <w:t xml:space="preserve"> One limitation is that PCA is ill-suited for quantitative apportionment applications due to the necessity of scaling the data to ensure all variables are equally weighted in the solution. Another limitation is the lack of non-negativity constraints, which made results derived from the method not suitable for explaining chemical and physical data. Finally, to perform the analysis one assumes uniform uncertainty across all samples of a given variable, when uncertainties in many air quality data applications are more complex.</w:t>
      </w:r>
      <w:r>
        <w:fldChar w:fldCharType="begin"/>
      </w:r>
      <w:r>
        <w:instrText xml:space="preserve"> ADDIN ZOTERO_ITEM CSL_CITATION {"citationID":"mhZzfPN2","properties":{"formattedCitation":"\\super 16\\nosupersub{}","plainCitation":"16","noteIndex":0},"citationItems":[{"id":654,"uris":["http://zotero.org/users/4282478/items/8DSAVW7V"],"uri":["http://zotero.org/users/4282478/items/8DSAVW7V"],"itemData":{"id":654,"type":"article-journal","abstract":"Efforts have been made to relate measured concentrations of airborne constituents to their origins for more than 50 years. During this time interval, there have been developments in the measurement technology to gather highly time-resolved, detailed chemical compositional data. Similarly, the improvements in computers have permitted a parallel development of data analysis tools that permit the extraction of information from these data. There is now a substantial capability to provide useful insights into the sources of pollutants and their atmospheric processing that can help inform air quality management options. Efforts have been made to combine receptor and chemical transport models to provide improved apportionments. Tools are available to utilize limited numbers of known profiles with the ambient data to obtain more accurate apportionments for targeted sources. In addition, tools are in place to allow more advanced models to be fitted to the data based on conceptual models of the nature of the sources and the sampling/analytical approach. Each of the approaches has its strengths and weaknesses. However, the field as a whole suffers from a lack of measurements of source emission compositions. There has not been an active effort to develop source profiles for stationary sources for a long time, and with many significant sources built in developing countries, the lack of local profiles is a serious problem in effective source apportionment. The field is now relatively mature in terms of its methods and its ability to adapt to new measurement technologies, so that we can be assured of a high likelihood of extracting the maximal information from the collected data.Implications: Efforts have been made over the past 50 years to use air quality data to estimate the influence of air pollution sources. These methods are now relatively mature and many are readily accessible through publically available software. This review examines the development of receptor models and the current state of the art in extracting source identification and apportionments from ambient air quality data.","container-title":"Journal of the Air &amp; Waste Management Association","DOI":"10.1080/10962247.2016.1140693","ISSN":"1096-2247","issue":"3","note":"publisher: Taylor &amp; Francis\n_eprint: https://doi.org/10.1080/10962247.2016.1140693\nPMID: 26756961","page":"237-259","source":"Taylor and Francis+NEJM","title":"Review of receptor modeling methods for source apportionment","volume":"66","author":[{"family":"Hopke","given":"Philip K."}],"issued":{"date-parts":[["2016",3,3]]}}}],"schema":"https://github.com/citation-style-language/schema/raw/master/csl-citation.json"} </w:instrText>
      </w:r>
      <w:r>
        <w:fldChar w:fldCharType="separate"/>
      </w:r>
      <w:r w:rsidRPr="00F446DE">
        <w:rPr>
          <w:rFonts w:ascii="Cambria" w:hAnsi="Cambria" w:cs="Times New Roman"/>
          <w:szCs w:val="24"/>
          <w:vertAlign w:val="superscript"/>
        </w:rPr>
        <w:t>16</w:t>
      </w:r>
      <w:r>
        <w:fldChar w:fldCharType="end"/>
      </w:r>
    </w:p>
    <w:p w14:paraId="19B78474" w14:textId="77777777" w:rsidR="00A80EF3" w:rsidRDefault="00A80EF3" w:rsidP="00A80EF3">
      <w:pPr>
        <w:ind w:firstLine="0"/>
      </w:pPr>
      <w:r>
        <w:tab/>
        <w:t xml:space="preserve">These limitations made Positive Matrix Factorization (PMF) a more popular technique for addressing source apportionment question, first described by </w:t>
      </w:r>
      <w:proofErr w:type="spellStart"/>
      <w:r>
        <w:t>Paatero</w:t>
      </w:r>
      <w:proofErr w:type="spellEnd"/>
      <w:r>
        <w:t xml:space="preserve"> and Tapper.</w:t>
      </w:r>
      <w:r>
        <w:fldChar w:fldCharType="begin"/>
      </w:r>
      <w:r>
        <w:instrText xml:space="preserve"> ADDIN ZOTERO_ITEM CSL_CITATION {"citationID":"ikFJlSvc","properties":{"formattedCitation":"\\super 25\\nosupersub{}","plainCitation":"25","noteIndex":0},"citationItems":[{"id":663,"uris":["http://zotero.org/users/4282478/items/P7RCQUR4"],"uri":["http://zotero.org/users/4282478/items/P7RCQUR4"],"itemData":{"id":663,"type":"article-journal","abstract":"Paatero, P. and Tapper, U., 1993. Analysis of different modes of factor analysis as least squares fit problems. Chemometrics and intelligent Laboratory Systems, 18: 183–194. It is shown that each mode of principal component analysis or ‘factor analysis’ is equivalent to solving a certain least squares problem where certain error estimators σij are assumed for the measured data matrix Xij. Selecting the mode (e.g. Q-mode) implicitly selects a scaling transformation as a preparatory step. Each scaling corresponds optimally to a certain σ. It is shown that the customary modes (Q-mode and R-mode) corresponds to such error estimates which do not normally occur in chemistry or physics. The best posssible scaling (‘optimal scaling’) and a near-optimal scaling are introduced. The Quail Roost II air pollution simulation data sets are studied as examples: it is shown that the X2 values produced by the new alternatives are smaller by a a factor of 10. Thus one would also expect that the factors are more precise. However, the values of the factors are not monitored in the present work.","container-title":"Chemometrics and Intelligent Laboratory Systems","DOI":"10.1016/0169-7439(93)80055-M","ISSN":"0169-7439","issue":"2","journalAbbreviation":"Chemometrics and Intelligent Laboratory Systems","language":"en","page":"183-194","source":"ScienceDirect","title":"Analysis of different modes of factor analysis as least squares fit problems","volume":"18","author":[{"family":"Paatero","given":"Pentti"},{"family":"Tapper","given":"Unto"}],"issued":{"date-parts":[["1993",2,1]]}}}],"schema":"https://github.com/citation-style-language/schema/raw/master/csl-citation.json"} </w:instrText>
      </w:r>
      <w:r>
        <w:fldChar w:fldCharType="separate"/>
      </w:r>
      <w:r w:rsidRPr="00F446DE">
        <w:rPr>
          <w:rFonts w:ascii="Cambria" w:hAnsi="Cambria" w:cs="Times New Roman"/>
          <w:szCs w:val="24"/>
          <w:vertAlign w:val="superscript"/>
        </w:rPr>
        <w:t>25</w:t>
      </w:r>
      <w:r>
        <w:fldChar w:fldCharType="end"/>
      </w:r>
      <w:r>
        <w:t xml:space="preserve"> PMF can be viewed as solving the apportionment problem as a regression problem with a weighted objective function. Instead of assuming that each sample for a given variable would have the same defined </w:t>
      </w:r>
      <w:r>
        <w:lastRenderedPageBreak/>
        <w:t xml:space="preserve">uncertainty, each sample would be inverse weighted by its respective uncertainty. Values with larger uncertainties would play a much smaller role in determining the decomposition. To address concerns over interpretability, the final solution would be constrained to have non-negative coefficients, which </w:t>
      </w:r>
      <w:proofErr w:type="spellStart"/>
      <w:r>
        <w:t>Paatero</w:t>
      </w:r>
      <w:proofErr w:type="spellEnd"/>
      <w:r>
        <w:t xml:space="preserve"> and Tapper argued were more reflective of physical reality.</w:t>
      </w:r>
      <w:r>
        <w:fldChar w:fldCharType="begin"/>
      </w:r>
      <w:r>
        <w:instrText xml:space="preserve"> ADDIN ZOTERO_ITEM CSL_CITATION {"citationID":"RRgmBCnD","properties":{"formattedCitation":"\\super 25\\nosupersub{}","plainCitation":"25","noteIndex":0},"citationItems":[{"id":663,"uris":["http://zotero.org/users/4282478/items/P7RCQUR4"],"uri":["http://zotero.org/users/4282478/items/P7RCQUR4"],"itemData":{"id":663,"type":"article-journal","abstract":"Paatero, P. and Tapper, U., 1993. Analysis of different modes of factor analysis as least squares fit problems. Chemometrics and intelligent Laboratory Systems, 18: 183–194. It is shown that each mode of principal component analysis or ‘factor analysis’ is equivalent to solving a certain least squares problem where certain error estimators σij are assumed for the measured data matrix Xij. Selecting the mode (e.g. Q-mode) implicitly selects a scaling transformation as a preparatory step. Each scaling corresponds optimally to a certain σ. It is shown that the customary modes (Q-mode and R-mode) corresponds to such error estimates which do not normally occur in chemistry or physics. The best posssible scaling (‘optimal scaling’) and a near-optimal scaling are introduced. The Quail Roost II air pollution simulation data sets are studied as examples: it is shown that the X2 values produced by the new alternatives are smaller by a a factor of 10. Thus one would also expect that the factors are more precise. However, the values of the factors are not monitored in the present work.","container-title":"Chemometrics and Intelligent Laboratory Systems","DOI":"10.1016/0169-7439(93)80055-M","ISSN":"0169-7439","issue":"2","journalAbbreviation":"Chemometrics and Intelligent Laboratory Systems","language":"en","page":"183-194","source":"ScienceDirect","title":"Analysis of different modes of factor analysis as least squares fit problems","volume":"18","author":[{"family":"Paatero","given":"Pentti"},{"family":"Tapper","given":"Unto"}],"issued":{"date-parts":[["1993",2,1]]}}}],"schema":"https://github.com/citation-style-language/schema/raw/master/csl-citation.json"} </w:instrText>
      </w:r>
      <w:r>
        <w:fldChar w:fldCharType="separate"/>
      </w:r>
      <w:r w:rsidRPr="009A32AF">
        <w:rPr>
          <w:rFonts w:ascii="Cambria" w:hAnsi="Cambria" w:cs="Times New Roman"/>
          <w:szCs w:val="24"/>
          <w:vertAlign w:val="superscript"/>
        </w:rPr>
        <w:t>25</w:t>
      </w:r>
      <w:r>
        <w:fldChar w:fldCharType="end"/>
      </w:r>
      <w:r>
        <w:t xml:space="preserve"> PMF is currently a popular technique utilized in many air quality applications.</w:t>
      </w:r>
      <w:r>
        <w:fldChar w:fldCharType="begin"/>
      </w:r>
      <w:r>
        <w:instrText xml:space="preserve"> ADDIN ZOTERO_ITEM CSL_CITATION {"citationID":"GXCpvpOn","properties":{"formattedCitation":"\\super 16\\nosupersub{}","plainCitation":"16","noteIndex":0},"citationItems":[{"id":654,"uris":["http://zotero.org/users/4282478/items/8DSAVW7V"],"uri":["http://zotero.org/users/4282478/items/8DSAVW7V"],"itemData":{"id":654,"type":"article-journal","abstract":"Efforts have been made to relate measured concentrations of airborne constituents to their origins for more than 50 years. During this time interval, there have been developments in the measurement technology to gather highly time-resolved, detailed chemical compositional data. Similarly, the improvements in computers have permitted a parallel development of data analysis tools that permit the extraction of information from these data. There is now a substantial capability to provide useful insights into the sources of pollutants and their atmospheric processing that can help inform air quality management options. Efforts have been made to combine receptor and chemical transport models to provide improved apportionments. Tools are available to utilize limited numbers of known profiles with the ambient data to obtain more accurate apportionments for targeted sources. In addition, tools are in place to allow more advanced models to be fitted to the data based on conceptual models of the nature of the sources and the sampling/analytical approach. Each of the approaches has its strengths and weaknesses. However, the field as a whole suffers from a lack of measurements of source emission compositions. There has not been an active effort to develop source profiles for stationary sources for a long time, and with many significant sources built in developing countries, the lack of local profiles is a serious problem in effective source apportionment. The field is now relatively mature in terms of its methods and its ability to adapt to new measurement technologies, so that we can be assured of a high likelihood of extracting the maximal information from the collected data.Implications: Efforts have been made over the past 50 years to use air quality data to estimate the influence of air pollution sources. These methods are now relatively mature and many are readily accessible through publically available software. This review examines the development of receptor models and the current state of the art in extracting source identification and apportionments from ambient air quality data.","container-title":"Journal of the Air &amp; Waste Management Association","DOI":"10.1080/10962247.2016.1140693","ISSN":"1096-2247","issue":"3","note":"publisher: Taylor &amp; Francis\n_eprint: https://doi.org/10.1080/10962247.2016.1140693\nPMID: 26756961","page":"237-259","source":"Taylor and Francis+NEJM","title":"Review of receptor modeling methods for source apportionment","volume":"66","author":[{"family":"Hopke","given":"Philip K."}],"issued":{"date-parts":[["2016",3,3]]}}}],"schema":"https://github.com/citation-style-language/schema/raw/master/csl-citation.json"} </w:instrText>
      </w:r>
      <w:r>
        <w:fldChar w:fldCharType="separate"/>
      </w:r>
      <w:r w:rsidRPr="00162789">
        <w:rPr>
          <w:rFonts w:ascii="Cambria" w:hAnsi="Cambria" w:cs="Times New Roman"/>
          <w:szCs w:val="24"/>
          <w:vertAlign w:val="superscript"/>
        </w:rPr>
        <w:t>16</w:t>
      </w:r>
      <w:r>
        <w:fldChar w:fldCharType="end"/>
      </w:r>
      <w:r>
        <w:t xml:space="preserve"> However, there are air quality data applications in which full specification of the uncertainties of every single measurement is unfeasible. Larson et al. argued that specifying uncertainty was unfeasible for their application and proceeded to use Absolute Principal Component Scores to perform quantitative analysis with derived factors.</w:t>
      </w:r>
      <w:r>
        <w:fldChar w:fldCharType="begin"/>
      </w:r>
      <w:r>
        <w:instrText xml:space="preserve"> ADDIN ZOTERO_ITEM CSL_CITATION {"citationID":"CJf09mDM","properties":{"formattedCitation":"\\super 10\\nosupersub{}","plainCitation":"10","noteIndex":0},"citationItems":[{"id":159,"uris":["http://zotero.org/users/4282478/items/4SPHF3NQ"],"uri":["http://zotero.org/users/4282478/items/4SPHF3NQ"],"itemData":{"id":159,"type":"article-journal","abstract":"We have applied the absolute principal component scores (APCS) receptor model to on-road, background-adjusted measurements of NOx, CO, CO2, black carbon (BC), and particle number (PN) obtained from a continuously moving platform deployed over nine afternoon sampling periods in Seattle, WA. Two Varimax-rotated principal component features described 75% of the overall variance of the observations. A heavy-duty vehicle feature was correlated with black carbon and particle number, whereas a light-duty feature was correlated with CO and CO2. NOx had moderate correlation with both features. The bootstrapped APCS model predictions were used to estimate area-wide, average fuel-based emission factors and their respective 95% confidence limits. The average emission factors for NOx, CO, BC and PN (14.8, 18.9, 0.40 g/kg, and 4.3 × 1015 particles/kg for heavy duty vehicles, and 3.2, 22.4, 0.016 g/kg, and 0.19 × 1015 particles/kg for light-duty vehicles, respectively) are consistent with previous estimates based on remote sensing, vehicle chase studies, and recent dynamometer tests. Information on the spatial distribution of the concentrations contributed by these two vehicle categories relative to background during the sampling period was also obtained.","container-title":"Atmospheric Environment","DOI":"10.1016/j.atmosenv.2016.12.037","ISSN":"1352-2310","journalAbbreviation":"Atmospheric Environment","page":"201-211","source":"ScienceDirect","title":"Ambient air quality measurements from a continuously moving mobile platform: Estimation of area-wide, fuel-based, mobile source emission factors using absolute principal component scores","title-short":"Ambient air quality measurements from a continuously moving mobile platform","volume":"152","author":[{"family":"Larson","given":"Timothy"},{"family":"Gould","given":"Timothy"},{"family":"Riley","given":"Erin A."},{"family":"Austin","given":"Elena"},{"family":"Fintzi","given":"Jonathan"},{"family":"Sheppard","given":"Lianne"},{"family":"Yost","given":"Michael"},{"family":"Simpson","given":"Christopher"}],"issued":{"date-parts":[["2017",3,1]]}}}],"schema":"https://github.com/citation-style-language/schema/raw/master/csl-citation.json"} </w:instrText>
      </w:r>
      <w:r>
        <w:fldChar w:fldCharType="separate"/>
      </w:r>
      <w:r w:rsidRPr="007043D3">
        <w:rPr>
          <w:rFonts w:ascii="Cambria" w:hAnsi="Cambria" w:cs="Times New Roman"/>
          <w:szCs w:val="24"/>
          <w:vertAlign w:val="superscript"/>
        </w:rPr>
        <w:t>10</w:t>
      </w:r>
      <w:r>
        <w:fldChar w:fldCharType="end"/>
      </w:r>
      <w:r>
        <w:t xml:space="preserve"> PCA should still be utilized in situations in which characterizing measurement uncertainty is practically impossible and still finds use in these settings today. </w:t>
      </w:r>
    </w:p>
    <w:p w14:paraId="30612318" w14:textId="77777777" w:rsidR="00A80EF3" w:rsidRDefault="00A80EF3" w:rsidP="00A80EF3">
      <w:r>
        <w:t>A glaring issue with both PMF and PCA is that both are linear models when air quality data can exhibit non-linear behavior on extended time scales.</w:t>
      </w:r>
      <w:r>
        <w:fldChar w:fldCharType="begin"/>
      </w:r>
      <w:r>
        <w:instrText xml:space="preserve"> ADDIN ZOTERO_ITEM CSL_CITATION {"citationID":"nRlDdCYG","properties":{"formattedCitation":"\\super 26\\nosupersub{}","plainCitation":"26","noteIndex":0},"citationItems":[{"id":127,"uris":["http://zotero.org/users/4282478/items/HGPB97I3"],"uri":["http://zotero.org/users/4282478/items/HGPB97I3"],"itemData":{"id":127,"type":"article-journal","abstract":"Concentrations of CO, SO2, NO, NO2, and NOY were measured atop the University of Houston's Moody Tower supersite during the 2006 TexAQS-II Radical and Aerosol Measurement Project (TRAMP). The lowest concentrations of all primary and secondary species were observed in clean marine air in southerly flow. SO2 concentrations were usually low, but increased dramatically in sporadic midday plumes advected from sources in the Houston Ship Channel (HSC), located NE of the site. Concentrations of CO and NOx displayed large diurnal variations in keeping with their co-emission by mobile sources in the Houston Metropolitan Area (HMA). CO/NOx emission ratios of 5.81 ± 0.94 were observed in the morning rush hour. Nighttime concentrations of NOx (NOx = NO + NO2) and NOY (NOY = NO + NO2 + NO3 + HNO3 + HONO + 2∗N2O5 + HO2NO2 + PANs + RONO2 + p-NO3− + …) were highest in winds from the NNW-NE due to emission from mobile sources. Median ratios of NOx/NOY were approximately 0.9 overnight, reflecting the persistence and/or generation of NOZ (NOZ = NOY − NOx) species in the nighttime Houston boundary layer, and approached unity in the morning rush hour. Daytime concentrations of NOx and NOY were highest in winds from the HSC. NOx/NOY ratios reached their minimum values (median ca 0.63) from 1300 to 1500 CST, near local solar noon, and air masses often retained enough NOx to sustain additional O3 formation farther downwind. HNO3 and PANs comprised the dominant NOZ species in the HMA, and on a median basis represented 17–20% and 12–15% of NOY, respectively, at midday. Concentrations of HNO3, PANs, and NOZ, and fractional contributions of these species to NOY, were at a maximum in NE flow, reflecting the source strength and reactivity of precursor emissions in the HSC. As a result, daytime O3 concentrations were highest in air masses with HSC influence. Overall, our findings confirm the impact of the HSC as a dominant source region within the HMA. A comparison of total NOY measurements with the sum of measured NOY species (NOYi = NOx + HNO3 + PANs + HONO + p-NO3−) yielded excellent overall agreement during both day ([NOY](ppb) = ([NOYi](ppb)∗1.03 ± 0.16) − 0.42; r2 = 0.9933) and night ([NOY](ppb) = ([NOYi](ppb)∗1.01 ± 0.16) + 0.18; r2 = 0.9975). A similar comparison between NOY–NOx concentrations and the sum of NOZi (NOZi = HNO3 + PANs + HONO + p-NO3−) yielded good overall agreement during the day ([NOZ](ppb) = ([NOZi](ppb)∗1.01 ± 0.30) + 0.044 ppb; r2 = 0.8527) and at night ([NOZ](ppb) = ([NOZi](ppb)∗1.12 ± 0.69) + 0.16 ppb; r2 = 0.6899). Median ratios of NOZ/NOZi were near unity during daylight hours but increased to approximately 1.2 overnight, a difference of 0.15–0.50 ppb. Differences between NOZ and NOZi rarely exceeded combined measurement uncertainties, and variations in NOZ/NOZi ratios may have resulted solely from errors in conversion efficiencies of NOY species and changes in NOY composition. However, nighttime NOZ/NOZi ratios and the magnitude of NOZ − NOZi differences were generally consistent with recent observations of ClNO2 in the nocturnal Houston boundary layer.","container-title":"Atmospheric Environment","DOI":"10.1016/j.atmosenv.2009.08.014","ISSN":"1352-2310","issue":"33","journalAbbreviation":"Atmospheric Environment","language":"en","page":"4068-4080","source":"ScienceDirect","title":"Measurements of primary trace gases and NOY composition in Houston, Texas","volume":"44","author":[{"family":"Luke","given":"Winston T."},{"family":"Kelley","given":"Paul"},{"family":"Lefer","given":"Barry L."},{"family":"Flynn","given":"James"},{"family":"Rappenglück","given":"Bernhard"},{"family":"Leuchner","given":"Michael"},{"family":"Dibb","given":"Jack E."},{"family":"Ziemba","given":"Luke D."},{"family":"Anderson","given":"Casey H."},{"family":"Buhr","given":"Martin"}],"issued":{"date-parts":[["2010",10,1]]}}}],"schema":"https://github.com/citation-style-language/schema/raw/master/csl-citation.json"} </w:instrText>
      </w:r>
      <w:r>
        <w:fldChar w:fldCharType="separate"/>
      </w:r>
      <w:r w:rsidRPr="00162789">
        <w:rPr>
          <w:rFonts w:ascii="Cambria" w:hAnsi="Cambria" w:cs="Times New Roman"/>
          <w:szCs w:val="24"/>
          <w:vertAlign w:val="superscript"/>
        </w:rPr>
        <w:t>26</w:t>
      </w:r>
      <w:r>
        <w:fldChar w:fldCharType="end"/>
      </w:r>
      <w:r>
        <w:t xml:space="preserve"> Additionally, both PMF and PCA are frequently constructed in a way that does not address how relationships between air quality variables change over time. There is a need for statistical models that address the reality that air quality data variables can exhibit non-linear, temporally dependent relationships to one another which is not adequately addressed in either PCA or PMF frameworks.</w:t>
      </w:r>
    </w:p>
    <w:p w14:paraId="198C181A" w14:textId="77777777" w:rsidR="00A80EF3" w:rsidRDefault="00A80EF3" w:rsidP="00A80EF3">
      <w:r>
        <w:t>In this chapter, I discuss a method called Dynamic Principal Component Analysis (DPCA) and apply it to 9 pollutant/meteorological variables in the Houston area. This work builds off the ideas of Melnikov et al. which were originally uploaded to a preprint server.</w:t>
      </w:r>
      <w:r>
        <w:fldChar w:fldCharType="begin"/>
      </w:r>
      <w:r>
        <w:instrText xml:space="preserve"> ADDIN ZOTERO_ITEM CSL_CITATION {"citationID":"BJ7eVRrR","properties":{"formattedCitation":"\\super 27\\nosupersub{}","plainCitation":"27","noteIndex":0},"citationItems":[{"id":18,"uris":["http://zotero.org/users/4282478/items/2MH35R2R"],"uri":["http://zotero.org/users/4282478/items/2MH35R2R"],"itemData":{"id":18,"type":"article-journal","abstract":"The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B."}],"accessed":{"date-parts":[["2021",10,6]]},"issued":{"date-parts":[["2016",8,9]]}}}],"schema":"https://github.com/citation-style-language/schema/raw/master/csl-citation.json"} </w:instrText>
      </w:r>
      <w:r>
        <w:fldChar w:fldCharType="separate"/>
      </w:r>
      <w:r w:rsidRPr="00162789">
        <w:rPr>
          <w:rFonts w:ascii="Cambria" w:hAnsi="Cambria" w:cs="Times New Roman"/>
          <w:szCs w:val="24"/>
          <w:vertAlign w:val="superscript"/>
        </w:rPr>
        <w:t>27</w:t>
      </w:r>
      <w:r>
        <w:fldChar w:fldCharType="end"/>
      </w:r>
      <w:r>
        <w:t xml:space="preserve"> They defined DPCA as PCA employed on a moving time window. DPCA has been used in a wide variety of contexts, </w:t>
      </w:r>
      <w:r>
        <w:lastRenderedPageBreak/>
        <w:t>such as chemical process analysis and control,</w:t>
      </w:r>
      <w:r>
        <w:fldChar w:fldCharType="begin"/>
      </w:r>
      <w:r>
        <w:instrText xml:space="preserve"> ADDIN ZOTERO_ITEM CSL_CITATION {"citationID":"ImkzKar9","properties":{"formattedCitation":"\\super 28\\uc0\\u8211{}30\\nosupersub{}","plainCitation":"28–30","noteIndex":0},"citationItems":[{"id":626,"uris":["http://zotero.org/users/4282478/items/AB4GDY95"],"uri":["http://zotero.org/users/4282478/items/AB4GDY95"],"itemData":{"id":626,"type":"article-journal","abstract":"In process monitoring, principal component analysis (PCA) is a very popular method and has found wide applications. Conventionally, a fixed PCA model is used for monitoring. This paper presents the use of both recursive PCA (RPCA) and moving window PCA (MWPCA) to online update the PCA model and its corresponding control limits for monitoring statistics. An efficient algorithm is derived based on rank-one matrix update of the covariance matrix, which is tailored for RPCA and MWPCA computations. By the proposed method, the performance of process monitoring can be improved in two aspects. First, more consistent PCA model and control limits for monitoring statistics are resulted because of the increasing number of normal observations for modeling. Second, for parameter-varying processes, when natural drifting behavior or changing of operation region is acceptable, more reasonable PCA model and control limits for monitoring statistics are obtained in an adaptive manner. Simulation results have shown the effectiveness of the proposed approaches compared to the conventional PCA and RPCA methods.","collection-title":"Festschrift Issue","container-title":"Journal of the Taiwan Institute of Chemical Engineers","DOI":"10.1016/j.jtice.2010.03.015","ISSN":"1876-1070","issue":"4","journalAbbreviation":"Journal of the Taiwan Institute of Chemical Engineers","language":"en","page":"475-481","source":"ScienceDirect","title":"Adaptive process monitoring using efficient recursive PCA and moving window PCA algorithms","volume":"41","author":[{"family":"Jeng","given":"Jyh-Cheng"}],"issued":{"date-parts":[["2010",7,1]]}}},{"id":630,"uris":["http://zotero.org/users/4282478/items/9SPWBVQK"],"uri":["http://zotero.org/users/4282478/items/9SPWBVQK"],"itemData":{"id":630,"type":"article-journal","abstract":"This paper introduces a fast algorithm for moving window principal component analysis (MWPCA) which will adapt a principal component model. This incorporates the concept of recursive adaptation within a moving window to (i) adapt the mean and variance of the process variables, (ii) adapt the correlation matrix, and (iii) adjust the PCA model by recomputing the decomposition. This paper shows that the new algorithm is computationally faster than conventional moving window techniques, if the window size exceeds 3 times the number of variables, and is not affected by the window size. A further contribution is the introduction of an N-step-ahead horizon into the process monitoring. This implies that the PCA model, identified N-steps earlier, is used to analyze the current observation. For monitoring complex chemical systems, this work shows that the use of the horizon improves the ability to detect slowly developing drifts.","container-title":"Industrial &amp; Engineering Chemistry Research","DOI":"10.1021/ie048873f","ISSN":"0888-5885","issue":"15","journalAbbreviation":"Ind. Eng. Chem. Res.","note":"publisher: American Chemical Society","page":"5691-5702","source":"ACS Publications","title":"Process Monitoring Approach Using Fast Moving Window PCA","volume":"44","author":[{"family":"Wang","given":"Xun"},{"family":"Kruger","given":"Uwe"},{"family":"Irwin","given":"George W."}],"issued":{"date-parts":[["2005",7,1]]}}},{"id":628,"uris":["http://zotero.org/users/4282478/items/JGZ77KHY"],"uri":["http://zotero.org/users/4282478/items/JGZ77KHY"],"itemData":{"id":628,"type":"article-journal","abstract":"This paper discusses the monitoring of complex nonlinear and time-varying processes. Kernel principal component analysis (KPCA) has gained significant attention as a monitoring tool for nonlinear systems in recent years but relies on a fixed model that cannot be employed for time-varying systems. The contribution of this article is the development of a numerically efficient and memory saving moving window KPCA (MWKPCA) monitoring approach. The proposed technique incorporates an up- and downdating procedure to adapt (i) the data mean and covariance matrix in the feature space and (ii) approximates the eigenvalues and eigenvectors of the Gram matrix. The article shows that the proposed MWKPCA algorithm has a computation complexity of O(N2), whilst batch techniques, e.g. the Lanczos method, are of O(N3). Including the adaptation of the number of retained components and an l-step ahead application of the MWKPCA monitoring model, the paper finally demonstrates the utility of the proposed technique using a simulated nonlinear time-varying system and recorded data from an industrial distillation column.","collection-title":"Chimiometrie 2007, Lyon, France, 29-30 November 2007","container-title":"Chemometrics and Intelligent Laboratory Systems","DOI":"10.1016/j.chemolab.2009.01.002","ISSN":"0169-7439","issue":"2","journalAbbreviation":"Chemometrics and Intelligent Laboratory Systems","language":"en","page":"132-143","source":"ScienceDirect","title":"Moving window kernel PCA for adaptive monitoring of nonlinear processes","volume":"96","author":[{"family":"Liu","given":"Xueqin"},{"family":"Kruger","given":"Uwe"},{"family":"Littler","given":"Tim"},{"family":"Xie","given":"Lei"},{"family":"Wang","given":"Shuqing"}],"issued":{"date-parts":[["2009",4,15]]}}}],"schema":"https://github.com/citation-style-language/schema/raw/master/csl-citation.json"} </w:instrText>
      </w:r>
      <w:r>
        <w:fldChar w:fldCharType="separate"/>
      </w:r>
      <w:r w:rsidRPr="00162789">
        <w:rPr>
          <w:rFonts w:ascii="Cambria" w:hAnsi="Cambria" w:cs="Times New Roman"/>
          <w:szCs w:val="24"/>
          <w:vertAlign w:val="superscript"/>
        </w:rPr>
        <w:t>28–30</w:t>
      </w:r>
      <w:r>
        <w:fldChar w:fldCharType="end"/>
      </w:r>
      <w:r>
        <w:t xml:space="preserve"> climate,</w:t>
      </w:r>
      <w:r>
        <w:fldChar w:fldCharType="begin"/>
      </w:r>
      <w:r>
        <w:instrText xml:space="preserve"> ADDIN ZOTERO_ITEM CSL_CITATION {"citationID":"2k3Zx7aw","properties":{"formattedCitation":"\\super 31\\nosupersub{}","plainCitation":"31","noteIndex":0},"citationItems":[{"id":635,"uris":["http://zotero.org/users/4282478/items/S23BHRP3"],"uri":["http://zotero.org/users/4282478/items/S23BHRP3"],"itemData":{"id":635,"type":"article-journal","abstract":"Abstract Identification of independent physical/dynamical modes and corresponding principal component time series is an important aspect of climate studies for they serve as a tool for detecting and predicting climate changes. While there are a number of different eigen techniques their performance for identifying independent modes varies. Considered here are comparison tests of eight eigen techniques in identifying independent patterns from a dataset. A particular emphasis is given to cyclostationary processes such as deforming and moving patterns with cyclic statistics. Such processes are fairly common in climatology and geophysics. Two eigen techniques that are based on the cyclostationarity assumption—cyclostationary empirical orthogonal functions (EOFs) and periodically extended EOFs—perform better in identifying moving and deforming patterns than techniques based on the stationarity assumption. Application to a tropical Pacific surface temperature field indicates that the first dominant pattern and the corresponding principal component (PC) time series are consistent among different techniques. The second mode and the PC time series, however, are not very consistent from one another with hints of significant modal mixing and splitting in some of derived patterns. There also is a detailed difference of intraannual scale between PC time series of a stationary technique and those of a cyclostationary one. This may bear an important implication on the predictability of El Niño. Clearly there is a choice of eigen technique for improved predictability.","container-title":"Journal of Climate","DOI":"10.1175/1520-0442(1999)012&lt;0185:ACSOET&gt;2.0.CO;2","ISSN":"0894-8755, 1520-0442","issue":"1","language":"EN","note":"publisher: American Meteorological Society\nsection: Journal of Climate","page":"185-199","source":"journals-ametsoc-org.ezproxy.rice.edu","title":"A Comparison Study of EOF Techniques: Analysis of Nonstationary Data with Periodic Statistics","title-short":"A Comparison Study of EOF Techniques","volume":"12","author":[{"family":"Kim","given":"Kwang-Y."},{"family":"Wu","given":"Qigang"}],"issued":{"date-parts":[["1999",1,1]]}}}],"schema":"https://github.com/citation-style-language/schema/raw/master/csl-citation.json"} </w:instrText>
      </w:r>
      <w:r>
        <w:fldChar w:fldCharType="separate"/>
      </w:r>
      <w:r w:rsidRPr="00162789">
        <w:rPr>
          <w:rFonts w:ascii="Cambria" w:hAnsi="Cambria" w:cs="Times New Roman"/>
          <w:szCs w:val="24"/>
          <w:vertAlign w:val="superscript"/>
        </w:rPr>
        <w:t>31</w:t>
      </w:r>
      <w:r>
        <w:fldChar w:fldCharType="end"/>
      </w:r>
      <w:r>
        <w:t xml:space="preserve"> and electroencephalography analysis.</w:t>
      </w:r>
      <w:r>
        <w:fldChar w:fldCharType="begin"/>
      </w:r>
      <w:r>
        <w:instrText xml:space="preserve"> ADDIN ZOTERO_ITEM CSL_CITATION {"citationID":"6PSWlOE5","properties":{"formattedCitation":"\\super 32\\nosupersub{}","plainCitation":"32","noteIndex":0},"citationItems":[{"id":637,"uris":["http://zotero.org/users/4282478/items/H7QAH9B8"],"uri":["http://zotero.org/users/4282478/items/H7QAH9B8"],"itemData":{"id":637,"type":"article-journal","abstract":"Classification of electroencephalography (EEG) is the most useful diagnostic and monitoring procedure for epilepsy study. A reliable algorithm that can be easily implemented is the key to this procedure. In this paper a novel signal feature extraction method based on dynamic principal component analysis and nonoverlapping moving window is proposed. Along with this new technique, two detection methods based on extracted sparse features are applied to deal with signal classification. The obtained results demonstrated that our proposed methodologies are able to differentiate EEGs from controls and interictal for epilepsy diagnosis and to separate EEGs from interictal and ictal for seizure detection. Our approach yields high classification accuracy for both single-channel short-term EEGs and multichannel long-term EEGs. The classification performance of the method is also compared with other state-of-the-art techniques on the same datasets and the effect of signal variability on the presented methods is also studied.","container-title":"The Scientific World Journal","DOI":"10.1155/2014/419308","ISSN":"2356-6140","language":"en","note":"publisher: Hindawi","page":"e419308","source":"www-hindawi-com.ezproxy.rice.edu","title":"Dynamic Principal Component Analysis with Nonoverlapping Moving Window and Its Applications to Epileptic EEG Classification","volume":"2014","author":[{"family":"Xie","given":"Shengkun"},{"family":"Krishnan","given":"Sridhar"}],"issued":{"date-parts":[["2014",1,16]]}}}],"schema":"https://github.com/citation-style-language/schema/raw/master/csl-citation.json"} </w:instrText>
      </w:r>
      <w:r>
        <w:fldChar w:fldCharType="separate"/>
      </w:r>
      <w:r w:rsidRPr="00162789">
        <w:rPr>
          <w:rFonts w:ascii="Cambria" w:hAnsi="Cambria" w:cs="Times New Roman"/>
          <w:szCs w:val="24"/>
          <w:vertAlign w:val="superscript"/>
        </w:rPr>
        <w:t>32</w:t>
      </w:r>
      <w:r>
        <w:fldChar w:fldCharType="end"/>
      </w:r>
      <w:r>
        <w:t xml:space="preserve"> Implementing PCA on a moving window can address many of its issues, such as creating a set of statistics that capture time dependence, formulating non-linearity through a set of linear models that change throughout time, and addressing uneven uncertainties. While recent work in a related dimension reduction technique, Positive Matrix Factorization (PMF), has incorporated a moving time window in its analysis in recognition of the temporal complexity of air pollution measurements,</w:t>
      </w:r>
      <w:r>
        <w:fldChar w:fldCharType="begin"/>
      </w:r>
      <w:r>
        <w:instrText xml:space="preserve"> ADDIN ZOTERO_ITEM CSL_CITATION {"citationID":"3bU4OLN1","properties":{"formattedCitation":"\\super 6,7\\nosupersub{}","plainCitation":"6,7","noteIndex":0},"citationItems":[{"id":9,"uris":["http://zotero.org/users/4282478/items/PNRLJKQY"],"uri":["http://zotero.org/users/4282478/items/PNRLJKQY"],"itemData":{"id":9,"type":"article-journal","abstract":"&lt;p&gt;&lt;strong class=\"journal-contentHeaderColor\"&gt;Abstract.&lt;/strong&gt; A new methodology for performing long-term source apportionment (SA) using positive matrix factorization (PMF) is presented. The method is implemented within the SoFi Pro software package and uses the multilinear engine (ME-2) as a PMF solver. The technique is applied to a 1-year aerosol chemical speciation monitor (ACSM) dataset from downtown Zurich, Switzerland.&lt;/p&gt; &lt;p&gt;The measured organic aerosol mass spectra were analyzed by PMF using a small (14 &lt;span class=\"inline-formula\"&gt;d&lt;/span&gt;) and rolling PMF window to account for the temporal evolution of the sources. The rotational ambiguity is explored and the uncertainties of the PMF solutions were estimated. Factor–tracer correlations for averaged seasonal results from the rolling window analysis are higher than those retrieved from conventional PMF analyses of individual seasons, highlighting the improved performance of the rolling window algorithm for long-term data.&lt;/p&gt; &lt;p&gt;In this study four to five factors were tested for every PMF window. Factor profiles for primary organic aerosol from traffic (HOA), cooking (COA) and biomass burning (BBOA) were constrained. Secondary organic aerosol was represented by either the combination of semi-volatile and low-volatility organic aerosol (SV-OOA and LV-OOA, respectively) or by a single OOA when this separation was not robust. This scheme led to roughly 40 000 PMF runs. Full visual inspection of all these PMF runs is unrealistic and is replaced by predefined user-selected criteria, which allow factor sorting and PMF run acceptance/rejection. The selected criteria for traffic (HOA) and BBOA were the correlation with equivalent black carbon from traffic (eBC&lt;span class=\"inline-formula\"&gt;&lt;sub&gt;tr&lt;/sub&gt;&lt;/span&gt;) and the explained variation of &lt;span class=\"inline-formula\"&gt;&lt;math xmlns=\"http://www.w3.org/1998/Math/MathML\" id=\"M3\" display=\"inline\" overflow=\"scroll\" dspmath=\"mathml\"&gt;&lt;mrow&gt;&lt;mi&gt;m&lt;/mi&gt;&lt;mo&gt;/&lt;/mo&gt;&lt;mi&gt;z&lt;/mi&gt;&lt;/mrow&gt;&lt;/math&gt;&lt;span&gt;&lt;svg:svg xmlns:svg=\"http://www.w3.org/2000/svg\" width=\"23pt\" height=\"14pt\" class=\"svg-formula\" dspmath=\"mathimg\" md5hash=\"d797e7418bb082ad5eec13189d6e5a75\"&gt;&lt;svg:image xmlns:xlink=\"http://www.w3.org/1999/xlink\" xlink:href=\"amt-14-923-2021-ie00001.svg\" width=\"23pt\" height=\"14pt\" src=\"amt-14-923-2021-ie00001.png\"/&gt;&lt;/svg:svg&gt;&lt;/span&gt;&lt;/span&gt; 60, respectively. COA was assessed by the prominence of a lunchtime concentration peak within the diurnal cycle. SV-OOA and LV-OOA were evaluated based on the fractions of &lt;span class=\"inline-formula\"&gt;&lt;math xmlns=\"http://www.w3.org/1998/Math/MathML\" id=\"M4\" display=\"inline\" overflow=\"scroll\" dspmath=\"mathml\"&gt;&lt;mrow&gt;&lt;mi&gt;m&lt;/mi&gt;&lt;mo&gt;/&lt;/mo&gt;&lt;mi&gt;z&lt;/mi&gt;&lt;/mrow&gt;&lt;/math&gt;&lt;span&gt;&lt;svg:svg xmlns:svg=\"http://www.w3.org/2000/svg\" width=\"23pt\" height=\"14pt\" class=\"svg-formula\" dspmath=\"mathimg\" md5hash=\"55e7511b997f0b1e1b80fcef0834494e\"&gt;&lt;svg:image xmlns:xlink=\"http://www.w3.org/1999/xlink\" xlink:href=\"amt-14-923-2021-ie00002.svg\" width=\"23pt\" height=\"14pt\" src=\"amt-14-923-2021-ie00002.png\"/&gt;&lt;/svg:svg&gt;&lt;/span&gt;&lt;/span&gt; 43 and 44 in their respective factor profiles. Seasonal &lt;i&gt;pre&lt;/i&gt;-tests revealed a non-continuous separation of OOA into SV-OOA and LV-OOA, in particular during the warm seasons. Therefore, a differentiation between four-factor solutions (HOA, COA, BBOA and OOA) and five-factor solutions (HOA, COA, BBOA, SV-OOA and LV-OOA) was also conducted based on the criterion for SV-OOA.&lt;/p&gt; &lt;p&gt;HOA and COA contribute between 0.4–0.7 &lt;span class=\"inline-formula\"&gt;µg m&lt;sup&gt;−3&lt;/sup&gt;&lt;/span&gt; (7.8 %–9.0 %) and 0.7–1.2 &lt;span class=\"inline-formula\"&gt;µg m&lt;sup&gt;−3&lt;/sup&gt;&lt;/span&gt; (12.2 %–15.7 %) on average throughout the year, respectively. BBOA shows a strong yearly cycle with the lowest mean concentrations in summer (0.6 &lt;span class=\"inline-formula\"&gt;µg m&lt;sup&gt;−3&lt;/sup&gt;&lt;/span&gt;, 12.0 %), slightly higher mean concentrations during spring and fall (1.0 and 1.5 &lt;span class=\"inline-formula\"&gt;µg m&lt;sup&gt;−3&lt;/sup&gt;&lt;/span&gt;, or 15.6 %&lt;span id=\"page924\"/&gt; and 18.6 %, respectively), and the highest mean concentrations during winter (1.9 &lt;span class=\"inline-formula\"&gt;µg m&lt;sup&gt;−3&lt;/sup&gt;&lt;/span&gt;, 25.0 %). In summer, OOA is separated into SV-OOA and LV-OOA, with mean concentrations of 1.4 &lt;span class=\"inline-formula\"&gt;µg m&lt;sup&gt;−3&lt;/sup&gt;&lt;/span&gt; (26.5 %) and 2.2 &lt;span class=\"inline-formula\"&gt;µg m&lt;sup&gt;−3&lt;/sup&gt;&lt;/span&gt; (40.3 %), respectively. For the remaining seasons the seasonal concentrations of SV-OOA, LV-OOA and OOA range from 0.3 to 1.1 &lt;span class=\"inline-formula\"&gt;µg m&lt;sup&gt;−3&lt;/sup&gt;&lt;/span&gt; (3.4 %–15.9 %), from 0.6 to 2.2 &lt;span class=\"inline-formula\"&gt;µg m&lt;sup&gt;−3&lt;/sup&gt;&lt;/span&gt; (7.7 %–33.7 %) and from 0.9 to 3.1 &lt;span class=\"inline-formula\"&gt;µg m&lt;sup&gt;−3&lt;/sup&gt;&lt;/span&gt; (13.7 %–39.9 %), respectively. The relative PMF errors modeled for this study for HOA, COA, BBOA, LV-OOA, SV-OOA and OOA are on average &lt;span class=\"inline-formula\"&gt;±34 &lt;i&gt;%&lt;/i&gt;&lt;/span&gt;, &lt;span class=\"inline-formula\"&gt;±27 &lt;i&gt;%&lt;/i&gt;&lt;/span&gt;, &lt;span class=\"inline-formula\"&gt;±30 &lt;i&gt;%&lt;/i&gt;&lt;/span&gt;, &lt;span class=\"inline-formula\"&gt;±11 &lt;i&gt;%&lt;/i&gt;&lt;/span&gt;, &lt;span class=\"inline-formula\"&gt;±25 &lt;i&gt;%&lt;/i&gt;&lt;/span&gt; and &lt;span class=\"inline-formula\"&gt;±12 &lt;i&gt;%&lt;/i&gt;&lt;/span&gt;, respectively.&lt;/p&gt;","container-title":"Atmospheric Measurement Techniques","DOI":"10.5194/amt-14-923-2021","ISSN":"1867-1381","issue":"2","language":"English","note":"publisher: Copernicus GmbH","page":"923-943","source":"amt.copernicus.org","title":"A new method for long-term source apportionment with time-dependent factor profiles and uncertainty assessment using SoFi Pro: application to 1 year of organic aerosol data","title-short":"A new method for long-term source apportionment with time-dependent factor profiles and uncertainty assessment using SoFi Pro","volume":"14","author":[{"family":"Canonaco","given":"Francesco"},{"family":"Tobler","given":"Anna"},{"family":"Chen","given":"Gang"},{"family":"Sosedova","given":"Yulia"},{"family":"Slowik","given":"Jay Gates"},{"family":"Bozzetti","given":"Carlo"},{"family":"Daellenbach","given":"Kaspar Rudolf"},{"family":"El Haddad","given":"Imad"},{"family":"Crippa","given":"Monica"},{"family":"Huang","given":"Ru-Jin"},{"family":"Furger","given":"Markus"},{"family":"Baltensperger","given":"Urs"},{"family":"Prévôt","given":"André Stephan Henry"}],"issued":{"date-parts":[["2021",2,8]]}}},{"id":10,"uris":["http://zotero.org/users/4282478/items/P9S86EA5"],"uri":["http://zotero.org/users/4282478/items/P9S86EA5"],"itemData":{"id":10,"type":"article-journal","abstract":"&lt;p&gt;&lt;strong class=\"journal-contentHeaderColor\"&gt;Abstract.&lt;/strong&gt; We collected 1 year of aerosol chemical speciation monitor (ACSM) data in Magadino, a village located in the south of the Swiss Alpine region, one of Switzerland's most polluted areas. We analysed the mass spectra of organic aerosol (OA) by positive matrix factorisation (PMF) using Source Finder Professional (SoFi Pro) to retrieve the origins of OA. Therein, we deployed a rolling algorithm, which is closer to the measurement, to account for the temporal changes in the source profiles. As the first-ever application of rolling PMF with multilinear engine (ME-2) analysis on a yearlong dataset that was collected from a rural site, we resolved two primary OA factors (traffic-related hydrocarbon-like OA (HOA) and biomass burning OA (BBOA)), one mass-to-charge ratio (&lt;span class=\"inline-formula\"&gt;&lt;math xmlns=\"http://www.w3.org/1998/Math/MathML\" id=\"M1\" display=\"inline\" overflow=\"scroll\" dspmath=\"mathml\"&gt;&lt;mrow&gt;&lt;mi&gt;m&lt;/mi&gt;&lt;mo&gt;/&lt;/mo&gt;&lt;mi&gt;z&lt;/mi&gt;&lt;/mrow&gt;&lt;/math&gt;&lt;span&gt;&lt;svg:svg xmlns:svg=\"http://www.w3.org/2000/svg\" width=\"23pt\" height=\"14pt\" class=\"svg-formula\" dspmath=\"mathimg\" md5hash=\"91270dba487782af7360c80516416e4b\"&gt;&lt;svg:image xmlns:xlink=\"http://www.w3.org/1999/xlink\" xlink:href=\"acp-21-15081-2021-ie00001.svg\" width=\"23pt\" height=\"14pt\" src=\"acp-21-15081-2021-ie00001.png\"/&gt;&lt;/svg:svg&gt;&lt;/span&gt;&lt;/span&gt;) 58-related OA (58-OA) factor, a less oxidised oxygenated OA (LO-OOA) factor, and a more oxidised oxygenated OA (MO-OOA) factor. HOA showed stable contributions to the total OA through the whole year ranging from 8.1 % to 10.1 %, while the contribution of BBOA showed an apparent seasonal variation with a range of 8.3 %–27.4 % (highest during winter, lowest during summer) and a yearly average of 17.1 %. OOA (sum of LO-OOA and MO-OOA) contributed 71.6 % of the OA mass, varying from 62.5 % (in winter) to 78 % (in spring and summer). The 58-OA factor mainly contained nitrogen-related variables which appeared to be pronounced only after the filament switched. However, since the contribution of this factor was insignificant (2.1 %), we did not attempt to interpolate its potential source in this work. The uncertainties (&lt;span class=\"inline-formula\"&gt;&lt;i&gt;σ&lt;/i&gt;&lt;/span&gt;) for the modelled OA factors (i.e. rotational uncertainty and statistical variability in the sources) varied from &lt;span class=\"inline-formula\"&gt;±&lt;/span&gt;4 % (58-OA) to a maximum of &lt;span class=\"inline-formula\"&gt;±&lt;/span&gt;40 % (LO-OOA). Considering that BBOA and LO-OOA (showing influences of biomass burning in winter) had significant contributions to the total OA mass, we suggest reducing and controlling biomass-burning-related residential heating as a mitigation strategy for better air quality and lower PM levels in this region or similar locations. In Appendix A, we conduct a head-to-head comparison between the conventional seasonal PMF analysis and the rolling mechanism. We find similar or slightly improved results in terms of mass concentrations, correlations with external tracers, and factor profiles of the constrained POA factors. The rolling results show smaller scaled residuals and enhanced correlations between OOA factors and corresponding inorganic salts compared to those of the seasonal solutions, which was most likely because the rolling PMF analysis can capture the temporal variations in the oxidation processes for OOA components. Specifically, the time-dependent factor profiles of MO-OOA and LO-OOA can well explain the temporal viabilities of two main ions for OOA factors, &lt;span class=\"inline-formula\"&gt;&lt;math xmlns=\"http://www.w3.org/1998/Math/MathML\" id=\"M5\" display=\"inline\" overflow=\"scroll\" dspmath=\"mathml\"&gt;&lt;mrow&gt;&lt;mi&gt;m&lt;/mi&gt;&lt;mo&gt;/&lt;/mo&gt;&lt;mi&gt;z&lt;/mi&gt;&lt;/mrow&gt;&lt;/math&gt;&lt;span&gt;&lt;svg:svg xmlns:svg=\"http://www.w3.org/2000/svg\" width=\"23pt\" height=\"14pt\" class=\"svg-formula\" dspmath=\"mathimg\" md5hash=\"46f32566b65c77f385ccc58250dc589d\"&gt;&lt;svg:image xmlns:xlink=\"http://www.w3.org/1999/xlink\" xlink:href=\"acp-21-15081-2021-ie00002.svg\" width=\"23pt\" height=\"14pt\" src=\"acp-21-15081-2021-ie00002.png\"/&gt;&lt;/svg:svg&gt;&lt;/span&gt;&lt;/span&gt; 44 (CO&lt;span class=\"inline-formula\"&gt;&lt;math xmlns=\"http://www.w3.org/1998/Math/MathML\" id=\"M6\" display=\"inline\" overflow=\"scroll\" dspmath=\"mathml\"&gt;&lt;mrow&gt;&lt;msubsup&gt;&lt;mi/&gt;&lt;mn mathvariant=\"normal\"&gt;2&lt;/mn&gt;&lt;mo&gt;+&lt;/mo&gt;&lt;/msubsup&gt;&lt;/mrow&gt;&lt;/math&gt;&lt;span&gt;&lt;svg:svg xmlns:svg=\"http://www.w3.org/2000/svg\" width=\"8pt\" height=\"15pt\" class=\"svg-formula\" dspmath=\"mathimg\" md5hash=\"dc8b1598d8557bb9492c8cdf197bf640\"&gt;&lt;svg:image xmlns:xlink=\"http://www.w3.org/1999/xlink\" xlink:href=\"acp-21-15081-2021-ie00003.svg\" width=\"8pt\" height=\"15pt\" src=\"acp-21-15081-2021-ie00003.png\"/&gt;&lt;/svg:svg&gt;&lt;/span&gt;&lt;/span&gt;) and &lt;span class=\"inline-formula\"&gt;&lt;math xmlns=\"http://www.w3.org/1998/Math/MathML\" id=\"M7\" display=\"inline\" overflow=\"scroll\" dspmath=\"mathml\"&gt;&lt;mrow&gt;&lt;mi&gt;m&lt;/mi&gt;&lt;mo&gt;/&lt;/mo&gt;&lt;mi&gt;z&lt;/mi&gt;&lt;/mrow&gt;&lt;/math&gt;&lt;span&gt;&lt;svg:svg xmlns:svg=\"http://www.w3.org/2000/svg\" width=\"23pt\" height=\"14pt\" class=\"svg-formula\" dspmath=\"mathimg\" md5hash=\"82359dc0e2bbce7906032009eb1b5089\"&gt;&lt;svg:image xmlns:xlink=\"http://www.w3.org/1999/xlink\" xlink:href=\"acp-21-15081-2021-ie00004.svg\" width=\"23pt\" height=\"14pt\" src=\"acp-21-15081-2021-ie00004.png\"/&gt;&lt;/svg:svg&gt;&lt;/span&gt;&lt;/span&gt; 43 (mostly C&lt;span class=\"inline-formula\"&gt;&lt;sub&gt;2&lt;/sub&gt;&lt;/span&gt;H&lt;span class=\"inline-formula\"&gt;&lt;sub&gt;3&lt;/sub&gt;&lt;/span&gt;O&lt;span class=\"inline-formula\"&gt;&lt;sup&gt;+&lt;/sup&gt;&lt;/span&gt;). Therefore, this rolling PMF analysis provides a more realistic source apportionment (SA) solution with time-dependent OA sources. The rolling results also show good agreement with offline Aerodyne aerosol mass spectrometer (AMS) SA results from filter samples,&lt;span id=\"page15082\"/&gt; except for in winter. The latter discrepancy is likely because the online measurement can capture the fast oxidation processes of biomass burning sources, in contrast to the 24 h filter samples. This study demonstrates the strengths of the rolling mechanism, provides a comprehensive criterion list for ACSM users to obtain reproducible SA results, and is a role model for similar analyses of such worldwide available data.&lt;/p&gt;","container-title":"Atmospheric Chemistry and Physics","DOI":"10.5194/acp-21-15081-2021","ISSN":"1680-7316","issue":"19","language":"English","note":"publisher: Copernicus GmbH","page":"15081-15101","source":"acp.copernicus.org","title":"Time-dependent source apportionment of submicron organic aerosol for a rural site in an alpine valley using a rolling positive matrix factorisation (PMF) window","volume":"21","author":[{"family":"Chen","given":"Gang"},{"family":"Sosedova","given":"Yulia"},{"family":"Canonaco","given":"Francesco"},{"family":"Fröhlich","given":"Roman"},{"family":"Tobler","given":"Anna"},{"family":"Vlachou","given":"Athanasia"},{"family":"Daellenbach","given":"Kaspar R."},{"family":"Bozzetti","given":"Carlo"},{"family":"Hueglin","given":"Christoph"},{"family":"Graf","given":"Peter"},{"family":"Baltensperger","given":"Urs"},{"family":"Slowik","given":"Jay G."},{"family":"El Haddad","given":"Imad"},{"family":"Prévôt","given":"André S. H."}],"issued":{"date-parts":[["2021",10,11]]}}}],"schema":"https://github.com/citation-style-language/schema/raw/master/csl-citation.json"} </w:instrText>
      </w:r>
      <w:r>
        <w:fldChar w:fldCharType="separate"/>
      </w:r>
      <w:r w:rsidRPr="0076022C">
        <w:rPr>
          <w:rFonts w:ascii="Cambria" w:hAnsi="Cambria" w:cs="Times New Roman"/>
          <w:szCs w:val="24"/>
          <w:vertAlign w:val="superscript"/>
        </w:rPr>
        <w:t>6,7</w:t>
      </w:r>
      <w:r>
        <w:fldChar w:fldCharType="end"/>
      </w:r>
      <w:r>
        <w:t xml:space="preserve"> it has not been implemented (to my knowledge) in PCA until the preprint authored by Melnikov et al. Some in the past have approached issues with time complexity either through analyzing data segregated by season</w:t>
      </w:r>
      <w:r>
        <w:fldChar w:fldCharType="begin"/>
      </w:r>
      <w:r>
        <w:instrText xml:space="preserve"> ADDIN ZOTERO_ITEM CSL_CITATION {"citationID":"nVfjPjkR","properties":{"formattedCitation":"\\super 33,34\\nosupersub{}","plainCitation":"33,34","noteIndex":0},"citationItems":[{"id":624,"uris":["http://zotero.org/users/4282478/items/N9V5CU9F"],"uri":["http://zotero.org/users/4282478/items/N9V5CU9F"],"itemData":{"id":624,"type":"article-journal","abstract":"From a network of nine stations measuring hourly-average values of ozone concentrations within the Athens basin it was found that the highest values of such concentrations occur in the summer months, i.e. June, July and August. For this season, the daily variation of the hourly values of ozone concentrations was determined by applying the “Box and Whiskers” method. A well-marked daily variation with the maximum occurring in the early afternoon was found at all stations, although hourly concentrations exhibit considerable differences among the stations. Finally, an attempt was made to investigate the characteristics of the spatial distribution of the daily maximum values of the ozone concentrations in summer within the basin by applying the method of Principal Component Analysis (PCA). Two significant components, E1 and E2 were found to account for 52.9% and 21.6% of the variability of the original data. The spatial distributions resulting from these components indicate that the lowest values occur at the centre of the city and that the highest gradients of the ozone concentrations occur towards the Northeast and the Northwest suburbs. For the second component, E2, the gradient is definitely higher toward the Northeast. Also, in all stations that are not sited at the northern residential areas, the values in E2 are lower than the respective averages while in E1 they are higher.","container-title":"Theoretical and Applied Climatology","DOI":"10.1007/s007040050004","ISSN":"1434-4483","issue":"1","journalAbbreviation":"Theor Appl Climatol","language":"en","page":"49-62","source":"Springer Link","title":"On the Spatial Distribution of the Daily Maximum Hourly Ozone Concentrations in the Athens Basin in Summer","volume":"65","author":[{"family":"Pissimanis","given":"D. K."},{"family":"Notaridou","given":"V. A."},{"family":"Kaltsounidis","given":"N. A."},{"family":"Viglas","given":"P. S."}],"issued":{"date-parts":[["2000",1,1]]}}},{"id":625,"uris":["http://zotero.org/users/4282478/items/FHM3IBPN"],"uri":["http://zotero.org/users/4282478/items/FHM3IBPN"],"itemData":{"id":625,"type":"article-journal","abstract":"Ozone is a secondary air pollutant that has received extensive attention in the literature, mainly because of the adverse effects that exposure to it can cause, particularly in vegetation during the growing season. Because meteorological conditions strongly influence the efficiency of photochemical processes leading to ozone formation and destruction, ground-level ozone air pollution is currently being considered as a regional-scale phenomenon rather than a local one. This role of O3 as a regional-scale pollutant often implies the handling of large data sets in order to obtain information about its spatial and temporal variability patterns over a given broad region. Rotated principal component analysis (RPCA) is known to be one of the most powerful mathematical tools that can be used to achieve this aim. RPCA was applied in this paper to the summer and winter hourly time series of ground-level O3, concentrations recorded during 2 consecutive years (1996–1997) at 26 urban and suburban sites in Castilla-León (Spain). This procedure permitted the identification of different subregions where O3 concentrations show different spatio-temporal variability patterns. These variability patterns are mainly associated with the interaction of regional-level meteorological and anthropogenic factors. Some differences between winter and summer patterns were also found.","container-title":"International Journal of Biometeorology","DOI":"10.1007/s004840050137","ISSN":"1432-1254","issue":"1","journalAbbreviation":"Int J Biometeorol","language":"en","page":"44-51","source":"Springer Link","title":"Spatial and temporal variability of ground-level ozone in Castilla-León (Spain)","volume":"44","author":[{"family":"Álvarez","given":"E."},{"family":"Pablo","given":"F.","non-dropping-particle":"de"},{"family":"Tomás","given":"C."},{"family":"Rivas","given":"L."}],"issued":{"date-parts":[["2000",5,1]]}}}],"schema":"https://github.com/citation-style-language/schema/raw/master/csl-citation.json"} </w:instrText>
      </w:r>
      <w:r>
        <w:fldChar w:fldCharType="separate"/>
      </w:r>
      <w:r w:rsidRPr="00162789">
        <w:rPr>
          <w:rFonts w:ascii="Cambria" w:hAnsi="Cambria" w:cs="Times New Roman"/>
          <w:szCs w:val="24"/>
          <w:vertAlign w:val="superscript"/>
        </w:rPr>
        <w:t>33,34</w:t>
      </w:r>
      <w:r>
        <w:fldChar w:fldCharType="end"/>
      </w:r>
      <w:r>
        <w:t xml:space="preserve"> or by hour of the day,</w:t>
      </w:r>
      <w:r>
        <w:fldChar w:fldCharType="begin"/>
      </w:r>
      <w:r>
        <w:instrText xml:space="preserve"> ADDIN ZOTERO_ITEM CSL_CITATION {"citationID":"0SHST99t","properties":{"formattedCitation":"\\super 35\\nosupersub{}","plainCitation":"35","noteIndex":0},"citationItems":[{"id":622,"uris":["http://zotero.org/users/4282478/items/4P5GNNHL"],"uri":["http://zotero.org/users/4282478/items/4P5GNNHL"],"itemData":{"id":622,"type":"article-journal","abstract":"Data on the concentrations of seven environmental pollutants (CH4, NMHC, CO, CO2, NO, NO2 and SO2) and meteorological variables (wind speed and direction, air temperature, relative humidity and solar radiation) were employed to predict the concentration of ozone in the atmosphere using both multiple linear and principal component regression methods. Separate analyses were carried out for day light and night time periods. For both periods the pollutants were highly correlated, but were all negatively correlated with ozone. Multiple regression analysis was used to fit the ozone data using the pollutant and meteorological variables as predictors. A variable selection method based on high loadings of varimax rotated principal components was used to obtain subsets of the predictor variables to be included in the regression model of the logarithm of the ozone data. It was found that while high temperature and high solar energy tended to increase the day time ozone concentrations, the pollutants NO and SO2 being emitted to the atmosphere were being depleted. Night time ozone concentrations were influenced predominantly by the nitrogen oxides (NO+NO2), with the meteorological variables playing no significant role. However, the model did not predict the night time ozone concentrations as accurately as it did for the day time. This could be due to other factors that were not explicitly considered in this study.","container-title":"Environmental Modelling &amp; Software","DOI":"10.1016/j.envsoft.2004.09.001","ISSN":"1364-8152","issue":"10","journalAbbreviation":"Environmental Modelling &amp; Software","language":"en","page":"1263-1271","source":"ScienceDirect","title":"Principal component and multiple regression analysis in modelling of ground-level ozone and factors affecting its concentrations","volume":"20","author":[{"family":"Abdul-Wahab","given":"Sabah A."},{"family":"Bakheit","given":"Charles S."},{"family":"Al-Alawi","given":"Saleh M."}],"issued":{"date-parts":[["2005",10,1]]}}}],"schema":"https://github.com/citation-style-language/schema/raw/master/csl-citation.json"} </w:instrText>
      </w:r>
      <w:r>
        <w:fldChar w:fldCharType="separate"/>
      </w:r>
      <w:r w:rsidRPr="00162789">
        <w:rPr>
          <w:rFonts w:ascii="Cambria" w:hAnsi="Cambria" w:cs="Times New Roman"/>
          <w:szCs w:val="24"/>
          <w:vertAlign w:val="superscript"/>
        </w:rPr>
        <w:t>35</w:t>
      </w:r>
      <w:r>
        <w:fldChar w:fldCharType="end"/>
      </w:r>
      <w:r>
        <w:t xml:space="preserve"> but have not implemented a moving window. In this chapter, I will summarize the efforts of Melnikov et al. to implement a moving time window, showcase the results of applying DPCA to stationary monitor measurements of 9 different variables taken across the span of 4 years in the Houston area, and conclude by comparing performance of DPCA to applications of static PCA that were previously published.</w:t>
      </w:r>
    </w:p>
    <w:p w14:paraId="2E8562C1" w14:textId="77777777" w:rsidR="00A80EF3" w:rsidRDefault="00A80EF3" w:rsidP="00A80EF3">
      <w:pPr>
        <w:pStyle w:val="Heading2"/>
      </w:pPr>
      <w:r>
        <w:t>Overview of Melnikov et al.</w:t>
      </w:r>
    </w:p>
    <w:p w14:paraId="4E2A60A0" w14:textId="77777777" w:rsidR="00A80EF3" w:rsidRDefault="00A80EF3" w:rsidP="00A80EF3">
      <w:pPr>
        <w:pStyle w:val="Heading3"/>
      </w:pPr>
      <w:r>
        <w:t>Methodology and Notation Definition</w:t>
      </w:r>
    </w:p>
    <w:p w14:paraId="4AC9C426" w14:textId="77777777" w:rsidR="00A80EF3" w:rsidRDefault="00A80EF3" w:rsidP="00A80EF3">
      <w:pPr>
        <w:ind w:firstLine="360"/>
      </w:pPr>
      <w:r>
        <w:t>Here I will discuss the methodology used in Melnikov et al. and employed here for consistency. I will start off by briefly discussing PCA, then explain the notation of DPCA. I will then talk about the results in Melnikov et al. briefly.</w:t>
      </w:r>
    </w:p>
    <w:p w14:paraId="3976C078" w14:textId="77777777" w:rsidR="00A80EF3" w:rsidRPr="009215AD" w:rsidRDefault="00A80EF3" w:rsidP="00A80EF3">
      <w:pPr>
        <w:ind w:firstLine="360"/>
        <w:rPr>
          <w:rFonts w:eastAsiaTheme="minorEastAsia"/>
        </w:rPr>
      </w:pPr>
      <w:r w:rsidRPr="007B2C7C">
        <w:rPr>
          <w:noProof/>
        </w:rPr>
        <w:lastRenderedPageBreak/>
        <w:drawing>
          <wp:anchor distT="0" distB="0" distL="114300" distR="114300" simplePos="0" relativeHeight="251659264" behindDoc="1" locked="0" layoutInCell="1" allowOverlap="1" wp14:anchorId="2B011104" wp14:editId="62F699F5">
            <wp:simplePos x="0" y="0"/>
            <wp:positionH relativeFrom="page">
              <wp:align>center</wp:align>
            </wp:positionH>
            <wp:positionV relativeFrom="paragraph">
              <wp:posOffset>2922905</wp:posOffset>
            </wp:positionV>
            <wp:extent cx="4688840" cy="1129665"/>
            <wp:effectExtent l="0" t="0" r="0" b="0"/>
            <wp:wrapTopAndBottom/>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88840" cy="1129665"/>
                    </a:xfrm>
                    <a:prstGeom prst="rect">
                      <a:avLst/>
                    </a:prstGeom>
                  </pic:spPr>
                </pic:pic>
              </a:graphicData>
            </a:graphic>
            <wp14:sizeRelH relativeFrom="margin">
              <wp14:pctWidth>0</wp14:pctWidth>
            </wp14:sizeRelH>
            <wp14:sizeRelV relativeFrom="margin">
              <wp14:pctHeight>0</wp14:pctHeight>
            </wp14:sizeRelV>
          </wp:anchor>
        </w:drawing>
      </w:r>
      <w:r>
        <w:t>Principal Component Analysis (PCA) is a dimension reduction technique used to interpret large data sets while preserving as much original information as possible.</w:t>
      </w:r>
      <w:r>
        <w:fldChar w:fldCharType="begin"/>
      </w:r>
      <w:r>
        <w:instrText xml:space="preserve"> ADDIN ZOTERO_ITEM CSL_CITATION {"citationID":"l4J11tzR","properties":{"formattedCitation":"\\super 36\\nosupersub{}","plainCitation":"36","noteIndex":0},"citationItems":[{"id":666,"uris":["http://zotero.org/users/4282478/items/B8IER25T"],"uri":["http://zotero.org/users/4282478/items/B8IER25T"],"itemData":{"id":666,"type":"article-journal","abstract":"Large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Sciences","DOI":"10.1098/rsta.2015.0202","issue":"2065","note":"publisher: Royal Society","page":"20150202","source":"royalsocietypublishing.org (Atypon)","title":"Principal component analysis: a review and recent developments","title-short":"Principal component analysis","volume":"374","author":[{"family":"Jolliffe","given":"Ian T."},{"family":"Cadima","given":"Jorge"}],"issued":{"date-parts":[["2016",4,13]]}}}],"schema":"https://github.com/citation-style-language/schema/raw/master/csl-citation.json"} </w:instrText>
      </w:r>
      <w:r>
        <w:fldChar w:fldCharType="separate"/>
      </w:r>
      <w:r w:rsidRPr="00162789">
        <w:rPr>
          <w:rFonts w:ascii="Cambria" w:hAnsi="Cambria" w:cs="Times New Roman"/>
          <w:szCs w:val="24"/>
          <w:vertAlign w:val="superscript"/>
        </w:rPr>
        <w:t>36</w:t>
      </w:r>
      <w:r>
        <w:fldChar w:fldCharType="end"/>
      </w:r>
      <w:r>
        <w:t xml:space="preserve"> Following the notation of Melnikov et al., we define a centered data matrix </w:t>
      </w:r>
      <m:oMath>
        <m:r>
          <w:rPr>
            <w:rFonts w:ascii="Cambria Math" w:hAnsi="Cambria Math"/>
          </w:rPr>
          <m:t>X=</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np</m:t>
                </m:r>
              </m:sub>
            </m:sSub>
            <m:ctrlPr>
              <w:rPr>
                <w:rFonts w:ascii="Cambria Math" w:hAnsi="Cambria Math"/>
                <w:i/>
              </w:rPr>
            </m:ctrlPr>
          </m:e>
        </m:d>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n</m:t>
            </m:r>
            <m:r>
              <m:rPr>
                <m:sty m:val="p"/>
              </m:rPr>
              <w:rPr>
                <w:rFonts w:ascii="Cambria Math" w:hAnsi="Cambria Math"/>
              </w:rPr>
              <m:t>×</m:t>
            </m:r>
            <m:r>
              <m:rPr>
                <m:scr m:val="double-struck"/>
              </m:rPr>
              <w:rPr>
                <w:rFonts w:ascii="Cambria Math" w:hAnsi="Cambria Math"/>
              </w:rPr>
              <m:t>p</m:t>
            </m:r>
          </m:sup>
        </m:sSup>
      </m:oMath>
      <w:r>
        <w:rPr>
          <w:rFonts w:eastAsiaTheme="minorEastAsia"/>
        </w:rPr>
        <w:t xml:space="preserve"> </w:t>
      </w:r>
      <w:r>
        <w:t xml:space="preserve">with </w:t>
      </w:r>
      <m:oMath>
        <m:r>
          <w:rPr>
            <w:rFonts w:ascii="Cambria Math" w:hAnsi="Cambria Math"/>
          </w:rPr>
          <m:t>n</m:t>
        </m:r>
      </m:oMath>
      <w:r>
        <w:t xml:space="preserve"> observations and </w:t>
      </w:r>
      <m:oMath>
        <m:r>
          <w:rPr>
            <w:rFonts w:ascii="Cambria Math" w:hAnsi="Cambria Math"/>
          </w:rPr>
          <m:t>p</m:t>
        </m:r>
      </m:oMath>
      <w:r>
        <w:t xml:space="preserve"> variables, each row following the same multivariate distribution with fixed mean and variance parameters, estimated as </w:t>
      </w:r>
      <m:oMath>
        <m:d>
          <m:dPr>
            <m:ctrlPr>
              <w:rPr>
                <w:rFonts w:ascii="Cambria Math" w:hAnsi="Cambria Math"/>
                <w:i/>
              </w:rPr>
            </m:ctrlPr>
          </m:dPr>
          <m:e>
            <m:r>
              <w:rPr>
                <w:rFonts w:ascii="Cambria Math" w:hAnsi="Cambria Math"/>
              </w:rPr>
              <m:t>0,</m:t>
            </m:r>
            <m:r>
              <m:rPr>
                <m:sty m:val="p"/>
              </m:rPr>
              <w:rPr>
                <w:rFonts w:ascii="Cambria Math" w:hAnsi="Cambria Math"/>
              </w:rPr>
              <m:t>Σ</m:t>
            </m:r>
          </m:e>
        </m:d>
        <m:r>
          <w:rPr>
            <w:rFonts w:ascii="Cambria Math" w:hAnsi="Cambria Math"/>
          </w:rPr>
          <m:t>.</m:t>
        </m:r>
      </m:oMath>
      <w:r>
        <w:rPr>
          <w:rFonts w:eastAsiaTheme="minorEastAsia"/>
        </w:rPr>
        <w:t xml:space="preserve"> </w:t>
      </w:r>
      <w:r>
        <w:t xml:space="preserve">A (static) principal component analysis (PCA) is defined as a linear transformation of these correlated variables to uncorrelated principal components, </w:t>
      </w:r>
      <m:oMath>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 k=1,…,p</m:t>
        </m:r>
      </m:oMath>
      <w:r>
        <w:rPr>
          <w:rFonts w:eastAsiaTheme="minorEastAsia"/>
        </w:rPr>
        <w:t>, which we take from Melnikov et al.:</w:t>
      </w:r>
    </w:p>
    <w:p w14:paraId="1BC28D31" w14:textId="77777777" w:rsidR="00A80EF3" w:rsidRDefault="00A80EF3" w:rsidP="00A80EF3">
      <w:pPr>
        <w:ind w:firstLine="0"/>
      </w:pPr>
    </w:p>
    <w:p w14:paraId="11AF633A" w14:textId="77777777" w:rsidR="00A80EF3" w:rsidRDefault="00A80EF3" w:rsidP="00A80EF3">
      <w:pPr>
        <w:ind w:firstLine="0"/>
      </w:pPr>
    </w:p>
    <w:p w14:paraId="107E540E" w14:textId="77777777" w:rsidR="00A80EF3" w:rsidRDefault="00A80EF3" w:rsidP="00A80EF3">
      <w:pPr>
        <w:pStyle w:val="Caption"/>
      </w:pPr>
      <w:bookmarkStart w:id="2" w:name="_Toc94804707"/>
      <w:r>
        <w:t xml:space="preserve">Equation </w:t>
      </w:r>
      <w:r>
        <w:fldChar w:fldCharType="begin"/>
      </w:r>
      <w:r>
        <w:instrText xml:space="preserve"> SEQ Equation \* ARABIC </w:instrText>
      </w:r>
      <w:r>
        <w:fldChar w:fldCharType="separate"/>
      </w:r>
      <w:r>
        <w:t>1</w:t>
      </w:r>
      <w:r>
        <w:fldChar w:fldCharType="end"/>
      </w:r>
      <w:r>
        <w:t xml:space="preserve">. A centered data matrix with </w:t>
      </w:r>
      <m:oMath>
        <m:r>
          <m:rPr>
            <m:sty m:val="bi"/>
          </m:rPr>
          <w:rPr>
            <w:rFonts w:ascii="Cambria Math" w:hAnsi="Cambria Math"/>
          </w:rPr>
          <m:t>p</m:t>
        </m:r>
      </m:oMath>
      <w:r>
        <w:rPr>
          <w:rFonts w:eastAsiaTheme="minorEastAsia"/>
        </w:rPr>
        <w:t xml:space="preserve"> variables and </w:t>
      </w:r>
      <m:oMath>
        <m:r>
          <m:rPr>
            <m:sty m:val="bi"/>
          </m:rPr>
          <w:rPr>
            <w:rFonts w:ascii="Cambria Math" w:eastAsiaTheme="minorEastAsia" w:hAnsi="Cambria Math"/>
          </w:rPr>
          <m:t>n</m:t>
        </m:r>
      </m:oMath>
      <w:r>
        <w:rPr>
          <w:rFonts w:eastAsiaTheme="minorEastAsia"/>
        </w:rPr>
        <w:t xml:space="preserve"> observations.</w:t>
      </w:r>
      <w:bookmarkEnd w:id="2"/>
      <w:r>
        <w:rPr>
          <w:rFonts w:eastAsiaTheme="minorEastAsia"/>
        </w:rPr>
        <w:t xml:space="preserve"> Taken from Melnikov et al.</w:t>
      </w:r>
      <w:r>
        <w:rPr>
          <w:rFonts w:eastAsiaTheme="minorEastAsia"/>
        </w:rPr>
        <w:fldChar w:fldCharType="begin"/>
      </w:r>
      <w:r>
        <w:rPr>
          <w:rFonts w:eastAsiaTheme="minorEastAsia"/>
        </w:rPr>
        <w:instrText xml:space="preserve"> ADDIN ZOTERO_ITEM CSL_CITATION {"citationID":"1HukEmCh","properties":{"formattedCitation":"\\super 27\\nosupersub{}","plainCitation":"27","noteIndex":0},"citationItems":[{"id":18,"uris":["http://zotero.org/users/4282478/items/2MH35R2R"],"uri":["http://zotero.org/users/4282478/items/2MH35R2R"],"itemData":{"id":18,"type":"article-journal","abstract":"The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B."}],"accessed":{"date-parts":[["2021",10,6]]},"issued":{"date-parts":[["2016",8,9]]}}}],"schema":"https://github.com/citation-style-language/schema/raw/master/csl-citation.json"} </w:instrText>
      </w:r>
      <w:r>
        <w:rPr>
          <w:rFonts w:eastAsiaTheme="minorEastAsia"/>
        </w:rPr>
        <w:fldChar w:fldCharType="separate"/>
      </w:r>
      <w:r w:rsidRPr="00162789">
        <w:rPr>
          <w:rFonts w:ascii="Cambria" w:hAnsi="Cambria" w:cs="Times New Roman"/>
          <w:szCs w:val="24"/>
          <w:vertAlign w:val="superscript"/>
        </w:rPr>
        <w:t>27</w:t>
      </w:r>
      <w:r>
        <w:rPr>
          <w:rFonts w:eastAsiaTheme="minorEastAsia"/>
        </w:rPr>
        <w:fldChar w:fldCharType="end"/>
      </w:r>
    </w:p>
    <w:p w14:paraId="596B6876" w14:textId="77777777" w:rsidR="00A80EF3" w:rsidRPr="000571A1" w:rsidRDefault="00A80EF3" w:rsidP="00A80EF3">
      <w:pPr>
        <w:ind w:firstLine="0"/>
        <w:rPr>
          <w:rFonts w:eastAsiaTheme="minorEastAsia"/>
          <w:noProof/>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oMath>
      <w:r>
        <w:rPr>
          <w:rFonts w:eastAsiaTheme="minorEastAsia"/>
          <w:noProof/>
        </w:rPr>
        <w:t xml:space="preserve"> are the loading coefficients, </w:t>
      </w:r>
      <m:oMath>
        <m:sSubSup>
          <m:sSubSupPr>
            <m:ctrlPr>
              <w:rPr>
                <w:rFonts w:ascii="Cambria Math" w:eastAsiaTheme="minorEastAsia" w:hAnsi="Cambria Math"/>
                <w:i/>
                <w:noProof/>
              </w:rPr>
            </m:ctrlPr>
          </m:sSubSupPr>
          <m:e>
            <m:r>
              <w:rPr>
                <w:rFonts w:ascii="Cambria Math" w:eastAsiaTheme="minorEastAsia" w:hAnsi="Cambria Math"/>
                <w:noProof/>
              </w:rPr>
              <m:t>x</m:t>
            </m:r>
          </m:e>
          <m:sub>
            <m:r>
              <w:rPr>
                <w:rFonts w:ascii="Cambria Math" w:eastAsiaTheme="minorEastAsia" w:hAnsi="Cambria Math"/>
                <w:noProof/>
              </w:rPr>
              <m:t>n.</m:t>
            </m:r>
          </m:sub>
          <m:sup>
            <m:r>
              <w:rPr>
                <w:rFonts w:ascii="Cambria Math" w:eastAsiaTheme="minorEastAsia" w:hAnsi="Cambria Math"/>
                <w:noProof/>
              </w:rPr>
              <m:t>'</m:t>
            </m:r>
          </m:sup>
        </m:sSubSup>
        <m:r>
          <m:rPr>
            <m:sty m:val="p"/>
          </m:rPr>
          <w:rPr>
            <w:rFonts w:ascii="Cambria Math" w:eastAsiaTheme="minorEastAsia" w:hAnsi="Cambria Math"/>
            <w:noProof/>
          </w:rPr>
          <m:t>∈</m:t>
        </m:r>
        <m:sSup>
          <m:sSupPr>
            <m:ctrlPr>
              <w:rPr>
                <w:rFonts w:ascii="Cambria Math" w:eastAsiaTheme="minorEastAsia" w:hAnsi="Cambria Math"/>
                <w:i/>
                <w:noProof/>
              </w:rPr>
            </m:ctrlPr>
          </m:sSupPr>
          <m:e>
            <m:r>
              <w:rPr>
                <w:rFonts w:ascii="Cambria Math" w:eastAsiaTheme="minorEastAsia" w:hAnsi="Cambria Math"/>
                <w:noProof/>
              </w:rPr>
              <m:t>R</m:t>
            </m:r>
          </m:e>
          <m:sup>
            <m:r>
              <m:rPr>
                <m:scr m:val="double-struck"/>
              </m:rPr>
              <w:rPr>
                <w:rFonts w:ascii="Cambria Math" w:eastAsiaTheme="minorEastAsia" w:hAnsi="Cambria Math"/>
                <w:noProof/>
              </w:rPr>
              <m:t>p</m:t>
            </m:r>
          </m:sup>
        </m:sSup>
      </m:oMath>
      <w:r>
        <w:rPr>
          <w:rFonts w:eastAsiaTheme="minorEastAsia"/>
          <w:noProof/>
        </w:rPr>
        <w:t xml:space="preserve"> are the </w:t>
      </w:r>
      <m:oMath>
        <m:r>
          <w:rPr>
            <w:rFonts w:ascii="Cambria Math" w:eastAsiaTheme="minorEastAsia" w:hAnsi="Cambria Math"/>
            <w:noProof/>
          </w:rPr>
          <m:t>n</m:t>
        </m:r>
      </m:oMath>
      <w:r>
        <w:rPr>
          <w:rFonts w:eastAsiaTheme="minorEastAsia"/>
          <w:noProof/>
        </w:rPr>
        <w:t xml:space="preserve"> multivariate observations, and </w:t>
      </w:r>
      <m:oMath>
        <m:sSubSup>
          <m:sSubSupPr>
            <m:ctrlPr>
              <w:rPr>
                <w:rFonts w:ascii="Cambria Math" w:eastAsiaTheme="minorEastAsia" w:hAnsi="Cambria Math"/>
                <w:i/>
                <w:noProof/>
              </w:rPr>
            </m:ctrlPr>
          </m:sSubSupPr>
          <m:e>
            <m:r>
              <w:rPr>
                <w:rFonts w:ascii="Cambria Math" w:eastAsiaTheme="minorEastAsia" w:hAnsi="Cambria Math"/>
                <w:noProof/>
              </w:rPr>
              <m:t>z</m:t>
            </m:r>
          </m:e>
          <m:sub>
            <m:r>
              <w:rPr>
                <w:rFonts w:ascii="Cambria Math" w:eastAsiaTheme="minorEastAsia" w:hAnsi="Cambria Math"/>
                <w:noProof/>
              </w:rPr>
              <m:t>n.</m:t>
            </m:r>
          </m:sub>
          <m:sup>
            <m:r>
              <w:rPr>
                <w:rFonts w:ascii="Cambria Math" w:eastAsiaTheme="minorEastAsia" w:hAnsi="Cambria Math"/>
                <w:noProof/>
              </w:rPr>
              <m:t>'</m:t>
            </m:r>
          </m:sup>
        </m:sSubSup>
        <m:r>
          <m:rPr>
            <m:sty m:val="p"/>
          </m:rPr>
          <w:rPr>
            <w:rFonts w:ascii="Cambria Math" w:eastAsiaTheme="minorEastAsia" w:hAnsi="Cambria Math"/>
            <w:noProof/>
          </w:rPr>
          <m:t>∈</m:t>
        </m:r>
        <m:sSup>
          <m:sSupPr>
            <m:ctrlPr>
              <w:rPr>
                <w:rFonts w:ascii="Cambria Math" w:eastAsiaTheme="minorEastAsia" w:hAnsi="Cambria Math"/>
                <w:i/>
                <w:noProof/>
              </w:rPr>
            </m:ctrlPr>
          </m:sSupPr>
          <m:e>
            <m:r>
              <w:rPr>
                <w:rFonts w:ascii="Cambria Math" w:eastAsiaTheme="minorEastAsia" w:hAnsi="Cambria Math"/>
                <w:noProof/>
              </w:rPr>
              <m:t>R</m:t>
            </m:r>
          </m:e>
          <m:sup>
            <m:r>
              <m:rPr>
                <m:scr m:val="double-struck"/>
              </m:rPr>
              <w:rPr>
                <w:rFonts w:ascii="Cambria Math" w:eastAsiaTheme="minorEastAsia" w:hAnsi="Cambria Math"/>
                <w:noProof/>
              </w:rPr>
              <m:t>p</m:t>
            </m:r>
          </m:sup>
        </m:sSup>
      </m:oMath>
      <w:r>
        <w:rPr>
          <w:rFonts w:eastAsiaTheme="minorEastAsia"/>
          <w:noProof/>
        </w:rPr>
        <w:t xml:space="preserve"> are the corresponding scores. The objective of PCA is to decompose a data matrix </w:t>
      </w:r>
      <m:oMath>
        <m:r>
          <w:rPr>
            <w:rFonts w:ascii="Cambria Math" w:eastAsiaTheme="minorEastAsia" w:hAnsi="Cambria Math"/>
            <w:noProof/>
          </w:rPr>
          <m:t>X</m:t>
        </m:r>
      </m:oMath>
      <w:r>
        <w:rPr>
          <w:rFonts w:eastAsiaTheme="minorEastAsia"/>
          <w:noProof/>
        </w:rPr>
        <w:t xml:space="preserve"> into these two matrices </w:t>
      </w:r>
      <m:oMath>
        <m:r>
          <w:rPr>
            <w:rFonts w:ascii="Cambria Math" w:eastAsiaTheme="minorEastAsia" w:hAnsi="Cambria Math"/>
            <w:noProof/>
          </w:rPr>
          <m:t>V</m:t>
        </m:r>
      </m:oMath>
      <w:r>
        <w:rPr>
          <w:rFonts w:eastAsiaTheme="minorEastAsia"/>
          <w:noProof/>
        </w:rPr>
        <w:t xml:space="preserve"> and </w:t>
      </w:r>
      <m:oMath>
        <m:r>
          <w:rPr>
            <w:rFonts w:ascii="Cambria Math" w:eastAsiaTheme="minorEastAsia" w:hAnsi="Cambria Math"/>
            <w:noProof/>
          </w:rPr>
          <m:t>Z</m:t>
        </m:r>
      </m:oMath>
      <w:r>
        <w:rPr>
          <w:rFonts w:eastAsiaTheme="minorEastAsia"/>
          <w:noProof/>
        </w:rPr>
        <w:t xml:space="preserve"> which correspond to the loadings and scores, respectively. To achieve this decomposition, one either employs a singular value decomposition (SVD) on the data matrix </w:t>
      </w:r>
      <m:oMath>
        <m:r>
          <w:rPr>
            <w:rFonts w:ascii="Cambria Math" w:eastAsiaTheme="minorEastAsia" w:hAnsi="Cambria Math"/>
            <w:noProof/>
          </w:rPr>
          <m:t>X</m:t>
        </m:r>
      </m:oMath>
      <w:r>
        <w:rPr>
          <w:rFonts w:eastAsiaTheme="minorEastAsia"/>
          <w:noProof/>
        </w:rPr>
        <w:t xml:space="preserve"> or an eigenvalue decomposition on its covariance matrix, </w:t>
      </w:r>
      <m:oMath>
        <m:sSub>
          <m:sSubPr>
            <m:ctrlPr>
              <w:rPr>
                <w:rFonts w:ascii="Cambria Math" w:eastAsiaTheme="minorEastAsia" w:hAnsi="Cambria Math"/>
                <w:i/>
                <w:noProof/>
              </w:rPr>
            </m:ctrlPr>
          </m:sSubPr>
          <m:e>
            <m:r>
              <m:rPr>
                <m:sty m:val="p"/>
              </m:rPr>
              <w:rPr>
                <w:rFonts w:ascii="Cambria Math" w:eastAsiaTheme="minorEastAsia" w:hAnsi="Cambria Math"/>
                <w:noProof/>
              </w:rPr>
              <m:t>Σ</m:t>
            </m:r>
            <m:ctrlPr>
              <w:rPr>
                <w:rFonts w:ascii="Cambria Math" w:eastAsiaTheme="minorEastAsia" w:hAnsi="Cambria Math"/>
                <w:noProof/>
              </w:rPr>
            </m:ctrlPr>
          </m:e>
          <m:sub>
            <m:r>
              <w:rPr>
                <w:rFonts w:ascii="Cambria Math" w:eastAsiaTheme="minorEastAsia" w:hAnsi="Cambria Math"/>
                <w:noProof/>
              </w:rPr>
              <m:t>pxp</m:t>
            </m:r>
          </m:sub>
        </m:sSub>
      </m:oMath>
      <w:r>
        <w:rPr>
          <w:rFonts w:eastAsiaTheme="minorEastAsia"/>
          <w:noProof/>
        </w:rPr>
        <w:t xml:space="preserve">. The squared eigenvalues in the decomposition of </w:t>
      </w:r>
      <m:oMath>
        <m:sSub>
          <m:sSubPr>
            <m:ctrlPr>
              <w:rPr>
                <w:rFonts w:ascii="Cambria Math" w:eastAsiaTheme="minorEastAsia" w:hAnsi="Cambria Math"/>
                <w:i/>
                <w:noProof/>
              </w:rPr>
            </m:ctrlPr>
          </m:sSubPr>
          <m:e>
            <m:r>
              <m:rPr>
                <m:sty m:val="p"/>
              </m:rPr>
              <w:rPr>
                <w:rFonts w:ascii="Cambria Math" w:eastAsiaTheme="minorEastAsia" w:hAnsi="Cambria Math"/>
                <w:noProof/>
              </w:rPr>
              <m:t>Σ</m:t>
            </m:r>
            <m:ctrlPr>
              <w:rPr>
                <w:rFonts w:ascii="Cambria Math" w:eastAsiaTheme="minorEastAsia" w:hAnsi="Cambria Math"/>
                <w:noProof/>
              </w:rPr>
            </m:ctrlPr>
          </m:e>
          <m:sub>
            <m:r>
              <w:rPr>
                <w:rFonts w:ascii="Cambria Math" w:eastAsiaTheme="minorEastAsia" w:hAnsi="Cambria Math"/>
                <w:noProof/>
              </w:rPr>
              <m:t>pxp</m:t>
            </m:r>
          </m:sub>
        </m:sSub>
      </m:oMath>
      <w:r>
        <w:rPr>
          <w:rFonts w:eastAsiaTheme="minorEastAsia"/>
          <w:noProof/>
        </w:rPr>
        <w:t xml:space="preserve"> are thought to represent the variances representative in each </w:t>
      </w:r>
      <w:r>
        <w:rPr>
          <w:rFonts w:eastAsiaTheme="minorEastAsia"/>
          <w:noProof/>
        </w:rPr>
        <w:lastRenderedPageBreak/>
        <w:t xml:space="preserve">component. The larger the variance, the more information retained in that component, whereas the smaller the variance, the less information retained in that component. Thus, to circle back to the original objective of PCA, components with small variances provide little information and are frequently tossed, whereas the larger components are retained. </w:t>
      </w:r>
    </w:p>
    <w:p w14:paraId="08936CBC" w14:textId="77777777" w:rsidR="00A80EF3" w:rsidRDefault="00A80EF3" w:rsidP="00A80EF3">
      <w:r>
        <w:t>As mentioned in the introduction, drawbacks of PCA are that it is scale-dependent and that loading coefficients can take negative values which are inconsistent with physical models of reality.</w:t>
      </w:r>
      <w:r>
        <w:fldChar w:fldCharType="begin"/>
      </w:r>
      <w:r>
        <w:instrText xml:space="preserve"> ADDIN ZOTERO_ITEM CSL_CITATION {"citationID":"j13C9JJV","properties":{"formattedCitation":"\\super 16,37\\nosupersub{}","plainCitation":"16,37","noteIndex":0},"citationItems":[{"id":654,"uris":["http://zotero.org/users/4282478/items/8DSAVW7V"],"uri":["http://zotero.org/users/4282478/items/8DSAVW7V"],"itemData":{"id":654,"type":"article-journal","abstract":"Efforts have been made to relate measured concentrations of airborne constituents to their origins for more than 50 years. During this time interval, there have been developments in the measurement technology to gather highly time-resolved, detailed chemical compositional data. Similarly, the improvements in computers have permitted a parallel development of data analysis tools that permit the extraction of information from these data. There is now a substantial capability to provide useful insights into the sources of pollutants and their atmospheric processing that can help inform air quality management options. Efforts have been made to combine receptor and chemical transport models to provide improved apportionments. Tools are available to utilize limited numbers of known profiles with the ambient data to obtain more accurate apportionments for targeted sources. In addition, tools are in place to allow more advanced models to be fitted to the data based on conceptual models of the nature of the sources and the sampling/analytical approach. Each of the approaches has its strengths and weaknesses. However, the field as a whole suffers from a lack of measurements of source emission compositions. There has not been an active effort to develop source profiles for stationary sources for a long time, and with many significant sources built in developing countries, the lack of local profiles is a serious problem in effective source apportionment. The field is now relatively mature in terms of its methods and its ability to adapt to new measurement technologies, so that we can be assured of a high likelihood of extracting the maximal information from the collected data.Implications: Efforts have been made over the past 50 years to use air quality data to estimate the influence of air pollution sources. These methods are now relatively mature and many are readily accessible through publically available software. This review examines the development of receptor models and the current state of the art in extracting source identification and apportionments from ambient air quality data.","container-title":"Journal of the Air &amp; Waste Management Association","DOI":"10.1080/10962247.2016.1140693","ISSN":"1096-2247","issue":"3","note":"publisher: Taylor &amp; Francis\n_eprint: https://doi.org/10.1080/10962247.2016.1140693\nPMID: 26756961","page":"237-259","source":"Taylor and Francis+NEJM","title":"Review of receptor modeling methods for source apportionment","volume":"66","author":[{"family":"Hopke","given":"Philip K."}],"issued":{"date-parts":[["2016",3,3]]}}},{"id":640,"uris":["http://zotero.org/users/4282478/items/B9VS6PXT"],"uri":["http://zotero.org/users/4282478/items/B9VS6PXT"],"itemData":{"id":640,"type":"book","publisher":"Academic press","title":"Multivariate Analysis","author":[{"family":"Mardia,","given":"Kantilal Varichand"},{"literal":"Bibby, John T."},{"literal":"Bibby, John M."}],"issued":{"date-parts":[["1979"]]}}}],"schema":"https://github.com/citation-style-language/schema/raw/master/csl-citation.json"} </w:instrText>
      </w:r>
      <w:r>
        <w:fldChar w:fldCharType="separate"/>
      </w:r>
      <w:r w:rsidRPr="00162789">
        <w:rPr>
          <w:rFonts w:ascii="Cambria" w:hAnsi="Cambria" w:cs="Times New Roman"/>
          <w:szCs w:val="24"/>
          <w:vertAlign w:val="superscript"/>
        </w:rPr>
        <w:t>16,37</w:t>
      </w:r>
      <w:r>
        <w:fldChar w:fldCharType="end"/>
      </w:r>
      <w:r>
        <w:t xml:space="preserve"> To combat these issues, some have implemented transformations of PC loadings,</w:t>
      </w:r>
      <w:r>
        <w:fldChar w:fldCharType="begin"/>
      </w:r>
      <w:r>
        <w:instrText xml:space="preserve"> ADDIN ZOTERO_ITEM CSL_CITATION {"citationID":"JFLUemSE","properties":{"formattedCitation":"\\super 10,15\\nosupersub{}","plainCitation":"10,15","noteIndex":0},"citationItems":[{"id":159,"uris":["http://zotero.org/users/4282478/items/4SPHF3NQ"],"uri":["http://zotero.org/users/4282478/items/4SPHF3NQ"],"itemData":{"id":159,"type":"article-journal","abstract":"We have applied the absolute principal component scores (APCS) receptor model to on-road, background-adjusted measurements of NOx, CO, CO2, black carbon (BC), and particle number (PN) obtained from a continuously moving platform deployed over nine afternoon sampling periods in Seattle, WA. Two Varimax-rotated principal component features described 75% of the overall variance of the observations. A heavy-duty vehicle feature was correlated with black carbon and particle number, whereas a light-duty feature was correlated with CO and CO2. NOx had moderate correlation with both features. The bootstrapped APCS model predictions were used to estimate area-wide, average fuel-based emission factors and their respective 95% confidence limits. The average emission factors for NOx, CO, BC and PN (14.8, 18.9, 0.40 g/kg, and 4.3 × 1015 particles/kg for heavy duty vehicles, and 3.2, 22.4, 0.016 g/kg, and 0.19 × 1015 particles/kg for light-duty vehicles, respectively) are consistent with previous estimates based on remote sensing, vehicle chase studies, and recent dynamometer tests. Information on the spatial distribution of the concentrations contributed by these two vehicle categories relative to background during the sampling period was also obtained.","container-title":"Atmospheric Environment","DOI":"10.1016/j.atmosenv.2016.12.037","ISSN":"1352-2310","journalAbbreviation":"Atmospheric Environment","page":"201-211","source":"ScienceDirect","title":"Ambient air quality measurements from a continuously moving mobile platform: Estimation of area-wide, fuel-based, mobile source emission factors using absolute principal component scores","title-short":"Ambient air quality measurements from a continuously moving mobile platform","volume":"152","author":[{"family":"Larson","given":"Timothy"},{"family":"Gould","given":"Timothy"},{"family":"Riley","given":"Erin A."},{"family":"Austin","given":"Elena"},{"family":"Fintzi","given":"Jonathan"},{"family":"Sheppard","given":"Lianne"},{"family":"Yost","given":"Michael"},{"family":"Simpson","given":"Christopher"}],"issued":{"date-parts":[["2017",3,1]]}}},{"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fldChar w:fldCharType="separate"/>
      </w:r>
      <w:r w:rsidRPr="00614E10">
        <w:rPr>
          <w:rFonts w:ascii="Cambria" w:hAnsi="Cambria" w:cs="Times New Roman"/>
          <w:szCs w:val="24"/>
          <w:vertAlign w:val="superscript"/>
        </w:rPr>
        <w:t>10,15</w:t>
      </w:r>
      <w:r>
        <w:fldChar w:fldCharType="end"/>
      </w:r>
      <w:r>
        <w:t xml:space="preserve"> while other have implemented a priori constraints.</w:t>
      </w:r>
      <w:r>
        <w:fldChar w:fldCharType="begin"/>
      </w:r>
      <w:r>
        <w:instrText xml:space="preserve"> ADDIN ZOTERO_ITEM CSL_CITATION {"citationID":"S7h3pnXq","properties":{"formattedCitation":"\\super 38,39\\nosupersub{}","plainCitation":"38,39","noteIndex":0},"citationItems":[{"id":707,"uris":["http://zotero.org/users/4282478/items/2SPIDY4E"],"uri":["http://zotero.org/users/4282478/items/2SPIDY4E"],"itemData":{"id":707,"type":"article-journal","abstract":"The mathematical details of the Unmix multivariate receptor model for air quality data are given. Primary among these is an algorithm to find edges (more correctly hyperplanes) in sets of points in N-dimensional space. An example with simulated data is given.","container-title":"Chemometrics and Intelligent Laboratory Systems","DOI":"10.1016/S0169-7439(02)00108-9","ISSN":"0169-7439","issue":"2","journalAbbreviation":"Chemometrics and Intelligent Laboratory Systems","language":"en","page":"179-189","source":"ScienceDirect","title":"Multivariate receptor modeling by N-dimensional edge detection","volume":"65","author":[{"family":"Henry","given":"Ronald C."}],"issued":{"date-parts":[["2003",2,28]]}}},{"id":705,"uris":["http://zotero.org/users/4282478/items/BHKFSXQE"],"uri":["http://zotero.org/users/4282478/items/BHKFSXQE"],"itemData":{"id":705,"type":"article-journal","abstract":"The chemical mass balance (CMB) model has been used widely in the PM10 source apportionment study and the PM10 state implementation plan (SIP) development. In its modeling application, the CMB model requires source composition profiles, which can either be measured by source testing or estimated by a multivariate receptor model such as source apportionment by factors with explicit restrictions (SAFER) from the ambient data only. The SAFER model is a multivariate receptor model utilizing a series of linear programming methods to estimate source compositions with explicit physical constraints. The SAFER model was applied to ambient PM10 data collected in 1986 in the South Coast Air Basin. Source compositions of selected major source categories were estimated. The SAFER model-estimated source profiles were compared with the measured source profiles by checking some important elemental ratios. Estimated source compositions were consistent with the measured profiles. Then the SAFER model-estimated source profiles were used for CMB analysis to estimate source contributions from each source category. Contributions from the roadway source range from 20 to 34μgm−3, from the secondary source from 17.75 to 31.40μgm−3, from the marine source from undetectable to 2.50μgm−3, and from the crustal source from 4.06 to 8.13μgm−3. Organic carbon seems to be mainly (81%) contributed by the primary roadway source, and sulfates and nitrates are mainly from the secondary source, although 32% of the sulfate is from primary sources such as roadway, crustal, and marine sources.","container-title":"Atmospheric Environment","DOI":"10.1016/S1352-2310(99)00365-9","ISSN":"1352-2310","issue":"11","journalAbbreviation":"Atmospheric Environment","language":"en","page":"1747-1759","source":"ScienceDirect","title":"Application of SAFER model to the Los Angeles PM10 data","volume":"34","author":[{"family":"Kim","given":"Bong Mann"},{"family":"Henry","given":"Ronald C."}],"issued":{"date-parts":[["2000",1,1]]}}}],"schema":"https://github.com/citation-style-language/schema/raw/master/csl-citation.json"} </w:instrText>
      </w:r>
      <w:r>
        <w:fldChar w:fldCharType="separate"/>
      </w:r>
      <w:r w:rsidRPr="00162789">
        <w:rPr>
          <w:rFonts w:ascii="Cambria" w:hAnsi="Cambria" w:cs="Times New Roman"/>
          <w:szCs w:val="24"/>
          <w:vertAlign w:val="superscript"/>
        </w:rPr>
        <w:t>38,39</w:t>
      </w:r>
      <w:r>
        <w:fldChar w:fldCharType="end"/>
      </w:r>
      <w:r>
        <w:t xml:space="preserve"> A more detailed discussion of the mathematics in PCA is established in Melnikov et al., </w:t>
      </w:r>
      <w:proofErr w:type="spellStart"/>
      <w:r>
        <w:t>Mardia</w:t>
      </w:r>
      <w:proofErr w:type="spellEnd"/>
      <w:r>
        <w:t xml:space="preserve"> et al., Jolliffe et al., and Jackson.</w:t>
      </w:r>
      <w:r>
        <w:fldChar w:fldCharType="begin"/>
      </w:r>
      <w:r>
        <w:instrText xml:space="preserve"> ADDIN ZOTERO_ITEM CSL_CITATION {"citationID":"LUO0xSEM","properties":{"formattedCitation":"\\super 27,36,37,40\\nosupersub{}","plainCitation":"27,36,37,40","noteIndex":0},"citationItems":[{"id":18,"uris":["http://zotero.org/users/4282478/items/2MH35R2R"],"uri":["http://zotero.org/users/4282478/items/2MH35R2R"],"itemData":{"id":18,"type":"article-journal","abstract":"The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B."}],"accessed":{"date-parts":[["2021",10,6]]},"issued":{"date-parts":[["2016",8,9]]}}},{"id":666,"uris":["http://zotero.org/users/4282478/items/B8IER25T"],"uri":["http://zotero.org/users/4282478/items/B8IER25T"],"itemData":{"id":666,"type":"article-journal","abstract":"Large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Sciences","DOI":"10.1098/rsta.2015.0202","issue":"2065","note":"publisher: Royal Society","page":"20150202","source":"royalsocietypublishing.org (Atypon)","title":"Principal component analysis: a review and recent developments","title-short":"Principal component analysis","volume":"374","author":[{"family":"Jolliffe","given":"Ian T."},{"family":"Cadima","given":"Jorge"}],"issued":{"date-parts":[["2016",4,13]]}}},{"id":640,"uris":["http://zotero.org/users/4282478/items/B9VS6PXT"],"uri":["http://zotero.org/users/4282478/items/B9VS6PXT"],"itemData":{"id":640,"type":"book","publisher":"Academic press","title":"Multivariate Analysis","author":[{"family":"Mardia,","given":"Kantilal Varichand"},{"literal":"Bibby, John T."},{"literal":"Bibby, John M."}],"issued":{"date-parts":[["1979"]]}}},{"id":671,"uris":["http://zotero.org/users/4282478/items/69DUGKG6"],"uri":["http://zotero.org/users/4282478/items/69DUGKG6"],"itemData":{"id":671,"type":"book","event-place":"Hoboken, New Jersey","publisher":"Wiley","publisher-place":"Hoboken, New Jersey","title":"A User's Guide to Principal Components","author":[{"literal":"Jackson, J. Edward"}],"issued":{"date-parts":[["2003"]]}}}],"schema":"https://github.com/citation-style-language/schema/raw/master/csl-citation.json"} </w:instrText>
      </w:r>
      <w:r>
        <w:fldChar w:fldCharType="separate"/>
      </w:r>
      <w:r w:rsidRPr="00162789">
        <w:rPr>
          <w:rFonts w:ascii="Cambria" w:hAnsi="Cambria" w:cs="Times New Roman"/>
          <w:szCs w:val="24"/>
          <w:vertAlign w:val="superscript"/>
        </w:rPr>
        <w:t>27,36,37,40</w:t>
      </w:r>
      <w:r>
        <w:fldChar w:fldCharType="end"/>
      </w:r>
      <w:r>
        <w:t xml:space="preserve"> A detailed discussion of the use of PCA and other dimension reduction techniques in atmospheric applications is given in Hopke,</w:t>
      </w:r>
      <w:r>
        <w:fldChar w:fldCharType="begin"/>
      </w:r>
      <w:r>
        <w:instrText xml:space="preserve"> ADDIN ZOTERO_ITEM CSL_CITATION {"citationID":"k7r2swGL","properties":{"formattedCitation":"\\super 16\\nosupersub{}","plainCitation":"16","noteIndex":0},"citationItems":[{"id":654,"uris":["http://zotero.org/users/4282478/items/8DSAVW7V"],"uri":["http://zotero.org/users/4282478/items/8DSAVW7V"],"itemData":{"id":654,"type":"article-journal","abstract":"Efforts have been made to relate measured concentrations of airborne constituents to their origins for more than 50 years. During this time interval, there have been developments in the measurement technology to gather highly time-resolved, detailed chemical compositional data. Similarly, the improvements in computers have permitted a parallel development of data analysis tools that permit the extraction of information from these data. There is now a substantial capability to provide useful insights into the sources of pollutants and their atmospheric processing that can help inform air quality management options. Efforts have been made to combine receptor and chemical transport models to provide improved apportionments. Tools are available to utilize limited numbers of known profiles with the ambient data to obtain more accurate apportionments for targeted sources. In addition, tools are in place to allow more advanced models to be fitted to the data based on conceptual models of the nature of the sources and the sampling/analytical approach. Each of the approaches has its strengths and weaknesses. However, the field as a whole suffers from a lack of measurements of source emission compositions. There has not been an active effort to develop source profiles for stationary sources for a long time, and with many significant sources built in developing countries, the lack of local profiles is a serious problem in effective source apportionment. The field is now relatively mature in terms of its methods and its ability to adapt to new measurement technologies, so that we can be assured of a high likelihood of extracting the maximal information from the collected data.Implications: Efforts have been made over the past 50 years to use air quality data to estimate the influence of air pollution sources. These methods are now relatively mature and many are readily accessible through publically available software. This review examines the development of receptor models and the current state of the art in extracting source identification and apportionments from ambient air quality data.","container-title":"Journal of the Air &amp; Waste Management Association","DOI":"10.1080/10962247.2016.1140693","ISSN":"1096-2247","issue":"3","note":"publisher: Taylor &amp; Francis\n_eprint: https://doi.org/10.1080/10962247.2016.1140693\nPMID: 26756961","page":"237-259","source":"Taylor and Francis+NEJM","title":"Review of receptor modeling methods for source apportionment","volume":"66","author":[{"family":"Hopke","given":"Philip K."}],"issued":{"date-parts":[["2016",3,3]]}}}],"schema":"https://github.com/citation-style-language/schema/raw/master/csl-citation.json"} </w:instrText>
      </w:r>
      <w:r>
        <w:fldChar w:fldCharType="separate"/>
      </w:r>
      <w:r w:rsidRPr="00933F9B">
        <w:rPr>
          <w:rFonts w:ascii="Cambria" w:hAnsi="Cambria" w:cs="Times New Roman"/>
          <w:szCs w:val="24"/>
          <w:vertAlign w:val="superscript"/>
        </w:rPr>
        <w:t>16</w:t>
      </w:r>
      <w:r>
        <w:fldChar w:fldCharType="end"/>
      </w:r>
      <w:r>
        <w:t xml:space="preserve"> and a fitting introduction given in Seinfeld and Pandis.</w:t>
      </w:r>
      <w:r>
        <w:fldChar w:fldCharType="begin"/>
      </w:r>
      <w:r>
        <w:instrText xml:space="preserve"> ADDIN ZOTERO_ITEM CSL_CITATION {"citationID":"MpVnqUT6","properties":{"formattedCitation":"\\super 15\\nosupersub{}","plainCitation":"15","noteIndex":0},"citationItems":[{"id":58,"uris":["http://zotero.org/users/4282478/items/I7M9CPTB"],"uri":["http://zotero.org/users/4282478/items/I7M9CPTB"],"itemData":{"id":58,"type":"book","abstract":"Expanded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fldChar w:fldCharType="separate"/>
      </w:r>
      <w:r w:rsidRPr="00751662">
        <w:rPr>
          <w:rFonts w:ascii="Cambria" w:hAnsi="Cambria" w:cs="Times New Roman"/>
          <w:szCs w:val="24"/>
          <w:vertAlign w:val="superscript"/>
        </w:rPr>
        <w:t>15</w:t>
      </w:r>
      <w:r>
        <w:fldChar w:fldCharType="end"/>
      </w:r>
    </w:p>
    <w:p w14:paraId="1ABF110F" w14:textId="77777777" w:rsidR="00A80EF3" w:rsidRDefault="00A80EF3" w:rsidP="00A80EF3">
      <w:pPr>
        <w:rPr>
          <w:rFonts w:eastAsiaTheme="minorEastAsia"/>
        </w:rPr>
      </w:pPr>
      <w:r>
        <w:t xml:space="preserve">As mentioned previously, Melnikov et al. defined DPCA as application of static PCA on a rolling time window. In their work, they assumed a time window </w:t>
      </w:r>
      <m:oMath>
        <m:r>
          <w:rPr>
            <w:rFonts w:ascii="Cambria Math" w:hAnsi="Cambria Math"/>
          </w:rPr>
          <m:t>l=45</m:t>
        </m:r>
      </m:oMath>
      <w:r>
        <w:rPr>
          <w:rFonts w:eastAsiaTheme="minorEastAsia"/>
        </w:rPr>
        <w:t xml:space="preserve"> days, which we use in follow-up work here. 45 days was chosen because it is assumed that the variables would be approximately cyclostationary on that time interval.</w:t>
      </w:r>
    </w:p>
    <w:p w14:paraId="2EFE3F19" w14:textId="77777777" w:rsidR="00A80EF3" w:rsidRDefault="00A80EF3" w:rsidP="00A80EF3">
      <w:r>
        <w:rPr>
          <w:rFonts w:eastAsiaTheme="minorEastAsia"/>
        </w:rPr>
        <w:t>To denote the time dependencies of statistics determined, Melnikov et al. defined the following notation:</w:t>
      </w:r>
    </w:p>
    <w:p w14:paraId="6AC762F8" w14:textId="77777777" w:rsidR="00A80EF3" w:rsidRPr="00A73E83" w:rsidRDefault="00A80EF3" w:rsidP="00A80EF3">
      <w:pPr>
        <w:rPr>
          <w:rFonts w:eastAsiaTheme="minorEastAsia"/>
        </w:rPr>
      </w:pPr>
      <m:oMathPara>
        <m:oMath>
          <m:sSub>
            <m:sSubPr>
              <m:ctrlPr>
                <w:rPr>
                  <w:rFonts w:ascii="Cambria Math" w:hAnsi="Cambria Math"/>
                </w:rPr>
              </m:ctrlPr>
            </m:sSubPr>
            <m:e>
              <m:r>
                <m:rPr>
                  <m:nor/>
                </m:rPr>
                <w:rPr>
                  <w:rFonts w:ascii="Cambria Math" w:hAnsi="Cambria Math"/>
                </w:rPr>
                <m:t>EV</m:t>
              </m:r>
            </m:e>
            <m:sub>
              <m:r>
                <m:rPr>
                  <m:sty m:val="p"/>
                </m:rPr>
                <w:rPr>
                  <w:rFonts w:ascii="Cambria Math" w:hAnsi="Cambria Math"/>
                </w:rPr>
                <m:t>h.k</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EV</m:t>
                      </m:r>
                    </m:e>
                    <m:sub>
                      <m:r>
                        <m:rPr>
                          <m:sty m:val="p"/>
                        </m:rPr>
                        <w:rPr>
                          <w:rFonts w:ascii="Cambria Math" w:hAnsi="Cambria Math"/>
                        </w:rPr>
                        <m:t>hdk</m:t>
                      </m:r>
                    </m:sub>
                  </m:sSub>
                </m:e>
              </m:d>
            </m:e>
            <m:sub>
              <m:r>
                <m:rPr>
                  <m:sty m:val="p"/>
                </m:rPr>
                <w:rPr>
                  <w:rFonts w:ascii="Cambria Math" w:hAnsi="Cambria Math"/>
                </w:rPr>
                <m:t>∀d</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t>
              </m:r>
            </m:sub>
            <m:sup>
              <m:r>
                <m:rPr>
                  <m:scr m:val="double-struck"/>
                  <m:sty m:val="p"/>
                </m:rPr>
                <w:rPr>
                  <w:rFonts w:ascii="Cambria Math" w:hAnsi="Cambria Math"/>
                </w:rPr>
                <m:t>d</m:t>
              </m:r>
            </m:sup>
          </m:sSubSup>
        </m:oMath>
      </m:oMathPara>
    </w:p>
    <w:p w14:paraId="7E2CA978" w14:textId="77777777" w:rsidR="00A80EF3" w:rsidRPr="00A73E83" w:rsidRDefault="00A80EF3" w:rsidP="00A80EF3">
      <w:pPr>
        <w:rPr>
          <w:rFonts w:eastAsiaTheme="minorEastAsia"/>
        </w:rPr>
      </w:pPr>
      <m:oMathPara>
        <m:oMath>
          <m:sSub>
            <m:sSubPr>
              <m:ctrlPr>
                <w:rPr>
                  <w:rFonts w:ascii="Cambria Math" w:hAnsi="Cambria Math"/>
                </w:rPr>
              </m:ctrlPr>
            </m:sSubPr>
            <m:e>
              <m:r>
                <m:rPr>
                  <m:nor/>
                </m:rPr>
                <w:rPr>
                  <w:rFonts w:ascii="Cambria Math" w:hAnsi="Cambria Math"/>
                </w:rPr>
                <m:t>EV</m:t>
              </m: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EV</m:t>
                      </m:r>
                    </m:e>
                    <m:sub>
                      <m:r>
                        <m:rPr>
                          <m:sty m:val="p"/>
                        </m:rPr>
                        <w:rPr>
                          <w:rFonts w:ascii="Cambria Math" w:hAnsi="Cambria Math"/>
                        </w:rPr>
                        <m:t>hdk</m:t>
                      </m:r>
                    </m:sub>
                  </m:sSub>
                </m:e>
              </m:d>
            </m:e>
            <m:sub>
              <m:r>
                <m:rPr>
                  <m:sty m:val="p"/>
                </m:rPr>
                <w:rPr>
                  <w:rFonts w:ascii="Cambria Math" w:hAnsi="Cambria Math"/>
                </w:rPr>
                <m:t>∀h,d</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t>
              </m:r>
            </m:sub>
            <m:sup>
              <m:r>
                <m:rPr>
                  <m:scr m:val="double-struck"/>
                  <m:sty m:val="p"/>
                </m:rPr>
                <w:rPr>
                  <w:rFonts w:ascii="Cambria Math" w:hAnsi="Cambria Math"/>
                </w:rPr>
                <m:t>24×d</m:t>
              </m:r>
            </m:sup>
          </m:sSubSup>
        </m:oMath>
      </m:oMathPara>
    </w:p>
    <w:p w14:paraId="126E57A8" w14:textId="77777777" w:rsidR="00A80EF3" w:rsidRDefault="00A80EF3" w:rsidP="00A80EF3">
      <w:pPr>
        <w:pStyle w:val="Caption"/>
      </w:pPr>
      <w:bookmarkStart w:id="3" w:name="_Toc94804708"/>
      <w:r>
        <w:lastRenderedPageBreak/>
        <w:t xml:space="preserve">Equation </w:t>
      </w:r>
      <w:r>
        <w:fldChar w:fldCharType="begin"/>
      </w:r>
      <w:r>
        <w:instrText xml:space="preserve"> SEQ Equation \* ARABIC </w:instrText>
      </w:r>
      <w:r>
        <w:fldChar w:fldCharType="separate"/>
      </w:r>
      <w:r>
        <w:t>2</w:t>
      </w:r>
      <w:r>
        <w:fldChar w:fldCharType="end"/>
      </w:r>
      <w:r>
        <w:t>. Notation for Dynamic Principal Components.</w:t>
      </w:r>
      <w:bookmarkEnd w:id="3"/>
    </w:p>
    <w:p w14:paraId="2E2593A3" w14:textId="77777777" w:rsidR="00A80EF3" w:rsidRDefault="00A80EF3" w:rsidP="00A80EF3">
      <w:pPr>
        <w:ind w:firstLine="0"/>
      </w:pPr>
      <w:r>
        <w:t xml:space="preserve">where </w:t>
      </w:r>
      <m:oMath>
        <m:r>
          <w:rPr>
            <w:rFonts w:ascii="Cambria Math" w:hAnsi="Cambria Math"/>
          </w:rPr>
          <m:t>h</m:t>
        </m:r>
      </m:oMath>
      <w:r>
        <w:t xml:space="preserve"> is an hour of a day, </w:t>
      </w:r>
      <m:oMath>
        <m:r>
          <w:rPr>
            <w:rFonts w:ascii="Cambria Math" w:hAnsi="Cambria Math"/>
          </w:rPr>
          <m:t>d</m:t>
        </m:r>
      </m:oMath>
      <w:r>
        <w:t xml:space="preserve"> is a day of the time period, and </w:t>
      </w:r>
      <m:oMath>
        <m:r>
          <w:rPr>
            <w:rFonts w:ascii="Cambria Math" w:hAnsi="Cambria Math"/>
          </w:rPr>
          <m:t>k</m:t>
        </m:r>
      </m:oMath>
      <w:r>
        <w:t xml:space="preserve"> identifies the corresponding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rPr>
          <w:rFonts w:eastAsiaTheme="minorEastAsia"/>
        </w:rPr>
        <w:t xml:space="preserve"> </w:t>
      </w:r>
      <w:proofErr w:type="gramStart"/>
      <w:r>
        <w:t>PC.</w:t>
      </w:r>
      <w:proofErr w:type="gramEnd"/>
      <w:r>
        <w:t xml:space="preserve"> A dot in place of an index signifies for all values of that index.   One dot would designate a vector, two dots a matrix, and three dots a three-dimensional (3D) array. Similarly, dynamic PC loadings are defined via a four-dimensional array </w:t>
      </w:r>
      <m:oMath>
        <m:r>
          <m:rPr>
            <m:sty m:val="p"/>
          </m:rPr>
          <w:rPr>
            <w:rFonts w:ascii="Cambria Math" w:hAnsi="Cambria Math"/>
          </w:rPr>
          <m:t>V=</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hdpk</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24</m:t>
            </m:r>
            <m:r>
              <m:rPr>
                <m:sty m:val="p"/>
              </m:rPr>
              <w:rPr>
                <w:rFonts w:ascii="Cambria Math" w:hAnsi="Cambria Math"/>
              </w:rPr>
              <m:t>×d×p×p</m:t>
            </m:r>
          </m:sup>
        </m:sSup>
      </m:oMath>
      <w:r>
        <w:t xml:space="preserve"> with analogous definitions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h.pk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d</m:t>
            </m:r>
          </m:sup>
        </m:sSup>
      </m:oMath>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hdp.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p</m:t>
            </m:r>
          </m:sup>
        </m:sSup>
      </m:oMath>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hd..</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p>
              <m:sSupPr>
                <m:ctrlPr>
                  <w:rPr>
                    <w:rFonts w:ascii="Cambria Math" w:hAnsi="Cambria Math"/>
                  </w:rPr>
                </m:ctrlPr>
              </m:sSupPr>
              <m:e>
                <m:r>
                  <m:rPr>
                    <m:scr m:val="double-struck"/>
                    <m:sty m:val="p"/>
                  </m:rPr>
                  <w:rPr>
                    <w:rFonts w:ascii="Cambria Math" w:hAnsi="Cambria Math"/>
                  </w:rPr>
                  <m:t>p</m:t>
                </m:r>
              </m:e>
              <m:sup>
                <m:r>
                  <m:rPr>
                    <m:scr m:val="double-struck"/>
                    <m:sty m:val="p"/>
                  </m:rPr>
                  <w:rPr>
                    <w:rFonts w:ascii="Cambria Math" w:hAnsi="Cambria Math"/>
                  </w:rPr>
                  <m:t>2</m:t>
                </m:r>
              </m:sup>
            </m:sSup>
          </m:sup>
        </m:sSup>
      </m:oMath>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24×p</m:t>
            </m:r>
          </m:sup>
        </m:sSup>
      </m:oMath>
      <w:r>
        <w:t xml:space="preserve">, and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h…</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d×p×p</m:t>
            </m:r>
          </m:sup>
        </m:sSup>
      </m:oMath>
      <w:r>
        <w:t xml:space="preserve"> and dynamic PCs </w:t>
      </w:r>
      <m:oMath>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PC</m:t>
                </m:r>
              </m:e>
              <m:sub>
                <m:r>
                  <m:rPr>
                    <m:sty m:val="p"/>
                  </m:rPr>
                  <w:rPr>
                    <w:rFonts w:ascii="Cambria Math" w:hAnsi="Cambria Math"/>
                  </w:rPr>
                  <m:t>hdk</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24×d×p</m:t>
            </m:r>
          </m:sup>
        </m:sSup>
      </m:oMath>
      <w:r>
        <w:t xml:space="preserve">, </w:t>
      </w:r>
      <m:oMath>
        <m:sSub>
          <m:sSubPr>
            <m:ctrlPr>
              <w:rPr>
                <w:rFonts w:ascii="Cambria Math" w:hAnsi="Cambria Math"/>
              </w:rPr>
            </m:ctrlPr>
          </m:sSubPr>
          <m:e>
            <m:r>
              <m:rPr>
                <m:nor/>
              </m:rPr>
              <w:rPr>
                <w:rFonts w:ascii="Cambria Math" w:hAnsi="Cambria Math"/>
              </w:rPr>
              <m:t>PC</m:t>
            </m:r>
          </m:e>
          <m:sub>
            <m:r>
              <m:rPr>
                <m:sty m:val="p"/>
              </m:rPr>
              <w:rPr>
                <w:rFonts w:ascii="Cambria Math" w:hAnsi="Cambria Math"/>
              </w:rPr>
              <m:t>h.k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d</m:t>
            </m:r>
          </m:sup>
        </m:sSup>
      </m:oMath>
      <w:r>
        <w:t xml:space="preserve">, </w:t>
      </w:r>
      <m:oMath>
        <m:sSub>
          <m:sSubPr>
            <m:ctrlPr>
              <w:rPr>
                <w:rFonts w:ascii="Cambria Math" w:hAnsi="Cambria Math"/>
              </w:rPr>
            </m:ctrlPr>
          </m:sSubPr>
          <m:e>
            <m:r>
              <m:rPr>
                <m:nor/>
              </m:rPr>
              <w:rPr>
                <w:rFonts w:ascii="Cambria Math" w:hAnsi="Cambria Math"/>
              </w:rPr>
              <m:t>PC</m:t>
            </m:r>
          </m:e>
          <m:sub>
            <m:r>
              <m:rPr>
                <m:sty m:val="p"/>
              </m:rP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cr m:val="double-struck"/>
                <m:sty m:val="p"/>
              </m:rPr>
              <w:rPr>
                <w:rFonts w:ascii="Cambria Math" w:hAnsi="Cambria Math"/>
              </w:rPr>
              <m:t>24×d</m:t>
            </m:r>
          </m:sup>
        </m:sSup>
      </m:oMath>
      <w:r>
        <w:t xml:space="preserve">, etc. Observations across all monitors are aggregated with the median and are indexed by hour </w:t>
      </w:r>
      <m:oMath>
        <m:r>
          <m:rPr>
            <m:sty m:val="p"/>
          </m:rPr>
          <w:rPr>
            <w:rFonts w:ascii="Cambria Math" w:hAnsi="Cambria Math"/>
          </w:rPr>
          <m:t>h=0,…,23</m:t>
        </m:r>
      </m:oMath>
      <w:r>
        <w:t xml:space="preserve">, by day </w:t>
      </w:r>
      <m:oMath>
        <m:r>
          <m:rPr>
            <m:sty m:val="p"/>
          </m:rPr>
          <w:rPr>
            <w:rFonts w:ascii="Cambria Math" w:hAnsi="Cambria Math"/>
          </w:rPr>
          <m:t>d=1,…,1460</m:t>
        </m:r>
      </m:oMath>
      <w:r>
        <w:t xml:space="preserve">, and by measured variable </w:t>
      </w:r>
      <m:oMath>
        <m:r>
          <m:rPr>
            <m:sty m:val="p"/>
          </m:rPr>
          <w:rPr>
            <w:rFonts w:ascii="Cambria Math" w:hAnsi="Cambria Math"/>
          </w:rPr>
          <m:t>p=1,…,9</m:t>
        </m:r>
      </m:oMath>
      <w:r>
        <w:t xml:space="preserve">, representing </w:t>
      </w:r>
      <m:oMath>
        <m:sSub>
          <m:sSubPr>
            <m:ctrlPr>
              <w:rPr>
                <w:rFonts w:ascii="Cambria Math" w:hAnsi="Cambria Math"/>
              </w:rPr>
            </m:ctrlPr>
          </m:sSubPr>
          <m:e>
            <m:r>
              <m:rPr>
                <m:nor/>
              </m:rPr>
              <w:rPr>
                <w:rFonts w:ascii="Cambria Math" w:hAnsi="Cambria Math"/>
              </w:rPr>
              <m:t>O</m:t>
            </m:r>
          </m:e>
          <m:sub>
            <m:r>
              <m:rPr>
                <m:sty m:val="p"/>
              </m:rPr>
              <w:rPr>
                <w:rFonts w:ascii="Cambria Math" w:hAnsi="Cambria Math"/>
              </w:rPr>
              <m:t>3</m:t>
            </m:r>
          </m:sub>
        </m:sSub>
      </m:oMath>
      <w:r>
        <w:t xml:space="preserve">, </w:t>
      </w:r>
      <m:oMath>
        <m:r>
          <m:rPr>
            <m:nor/>
          </m:rPr>
          <w:rPr>
            <w:rFonts w:ascii="Cambria Math" w:hAnsi="Cambria Math"/>
          </w:rPr>
          <m:t>CO</m:t>
        </m:r>
      </m:oMath>
      <w:r>
        <w:t xml:space="preserve">, </w:t>
      </w:r>
      <m:oMath>
        <m:sSub>
          <m:sSubPr>
            <m:ctrlPr>
              <w:rPr>
                <w:rFonts w:ascii="Cambria Math" w:hAnsi="Cambria Math"/>
              </w:rPr>
            </m:ctrlPr>
          </m:sSubPr>
          <m:e>
            <m:r>
              <m:rPr>
                <m:nor/>
              </m:rPr>
              <w:rPr>
                <w:rFonts w:ascii="Cambria Math" w:hAnsi="Cambria Math"/>
              </w:rPr>
              <m:t>NO</m:t>
            </m:r>
          </m:e>
          <m:sub>
            <m:r>
              <m:rPr>
                <m:sty m:val="p"/>
              </m:rPr>
              <w:rPr>
                <w:rFonts w:ascii="Cambria Math" w:hAnsi="Cambria Math"/>
              </w:rPr>
              <m:t>2</m:t>
            </m:r>
          </m:sub>
        </m:sSub>
      </m:oMath>
      <w:r>
        <w:rPr>
          <w:rFonts w:eastAsiaTheme="minorEastAsia"/>
        </w:rPr>
        <w:t>,</w:t>
      </w:r>
      <w:r>
        <w:t xml:space="preserve"> </w:t>
      </w:r>
      <m:oMath>
        <m:sSub>
          <m:sSubPr>
            <m:ctrlPr>
              <w:rPr>
                <w:rFonts w:ascii="Cambria Math" w:hAnsi="Cambria Math"/>
              </w:rPr>
            </m:ctrlPr>
          </m:sSubPr>
          <m:e>
            <m:r>
              <m:rPr>
                <m:nor/>
              </m:rPr>
              <w:rPr>
                <w:rFonts w:ascii="Cambria Math" w:hAnsi="Cambria Math"/>
              </w:rPr>
              <m:t>SO</m:t>
            </m:r>
          </m:e>
          <m:sub>
            <m:r>
              <m:rPr>
                <m:sty m:val="p"/>
              </m:rPr>
              <w:rPr>
                <w:rFonts w:ascii="Cambria Math" w:hAnsi="Cambria Math"/>
              </w:rPr>
              <m:t>2</m:t>
            </m:r>
          </m:sub>
        </m:sSub>
      </m:oMath>
      <w:r>
        <w:t xml:space="preserve">, </w:t>
      </w:r>
      <m:oMath>
        <m:sSub>
          <m:sSubPr>
            <m:ctrlPr>
              <w:rPr>
                <w:rFonts w:ascii="Cambria Math" w:hAnsi="Cambria Math"/>
              </w:rPr>
            </m:ctrlPr>
          </m:sSubPr>
          <m:e>
            <m:r>
              <m:rPr>
                <m:nor/>
              </m:rPr>
              <w:rPr>
                <w:rFonts w:ascii="Cambria Math" w:hAnsi="Cambria Math"/>
              </w:rPr>
              <m:t>PM</m:t>
            </m:r>
          </m:e>
          <m:sub>
            <m:r>
              <m:rPr>
                <m:sty m:val="p"/>
              </m:rPr>
              <w:rPr>
                <w:rFonts w:ascii="Cambria Math" w:hAnsi="Cambria Math"/>
              </w:rPr>
              <m:t>2.5</m:t>
            </m:r>
          </m:sub>
        </m:sSub>
      </m:oMath>
      <w:r>
        <w:t xml:space="preserve">, </w:t>
      </w:r>
      <m:oMath>
        <m:r>
          <m:rPr>
            <m:nor/>
          </m:rPr>
          <w:rPr>
            <w:rFonts w:ascii="Cambria Math" w:hAnsi="Cambria Math"/>
          </w:rPr>
          <m:t>Temp</m:t>
        </m:r>
      </m:oMath>
      <w:r>
        <w:t xml:space="preserve">, </w:t>
      </w:r>
      <m:oMath>
        <m:r>
          <m:rPr>
            <m:nor/>
          </m:rPr>
          <w:rPr>
            <w:rFonts w:ascii="Cambria Math" w:hAnsi="Cambria Math"/>
          </w:rPr>
          <m:t>WS</m:t>
        </m:r>
      </m:oMath>
      <w:r>
        <w:t xml:space="preserve">, </w:t>
      </w:r>
      <m:oMath>
        <m:r>
          <m:rPr>
            <m:nor/>
          </m:rPr>
          <w:rPr>
            <w:rFonts w:ascii="Cambria Math" w:hAnsi="Cambria Math"/>
          </w:rPr>
          <m:t>RH</m:t>
        </m:r>
      </m:oMath>
      <w:r>
        <w:t xml:space="preserve">, and </w:t>
      </w:r>
      <m:oMath>
        <m:r>
          <m:rPr>
            <m:nor/>
          </m:rPr>
          <w:rPr>
            <w:rFonts w:ascii="Cambria Math" w:hAnsi="Cambria Math"/>
          </w:rPr>
          <m:t>P</m:t>
        </m:r>
      </m:oMath>
      <w:r>
        <w:t xml:space="preserve">, respectively. These would form the related matrix </w:t>
      </w:r>
      <m:oMath>
        <m:sSub>
          <m:sSubPr>
            <m:ctrlPr>
              <w:rPr>
                <w:rFonts w:ascii="Cambria Math" w:hAnsi="Cambria Math"/>
              </w:rPr>
            </m:ctrlPr>
          </m:sSubPr>
          <m:e>
            <m:r>
              <m:rPr>
                <m:nor/>
              </m:rPr>
              <w:rPr>
                <w:rFonts w:ascii="Cambria Math" w:hAnsi="Cambria Math"/>
              </w:rPr>
              <m:t>SAO</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m:rPr>
                <m:nor/>
              </m:rPr>
              <w:rPr>
                <w:rFonts w:ascii="Cambria Math" w:hAnsi="Cambria Math"/>
              </w:rPr>
              <m:t>SAO</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hdp</m:t>
                        </m:r>
                      </m:sub>
                    </m:sSub>
                  </m:e>
                </m:acc>
              </m:e>
            </m:d>
          </m:e>
          <m:sub>
            <m:r>
              <m:rPr>
                <m:sty m:val="p"/>
              </m:rPr>
              <w:rPr>
                <w:rFonts w:ascii="Cambria Math" w:hAnsi="Cambria Math"/>
              </w:rPr>
              <m:t>∀dp</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t>
            </m:r>
          </m:sub>
          <m:sup>
            <m:r>
              <m:rPr>
                <m:scr m:val="double-struck"/>
                <m:sty m:val="p"/>
              </m:rPr>
              <w:rPr>
                <w:rFonts w:ascii="Cambria Math" w:hAnsi="Cambria Math"/>
              </w:rPr>
              <m:t>1460×9</m:t>
            </m:r>
          </m:sup>
        </m:sSubSup>
      </m:oMath>
      <w:r>
        <w:rPr>
          <w:rFonts w:eastAsiaTheme="minorEastAsia"/>
        </w:rPr>
        <w:t xml:space="preserve">, where </w:t>
      </w:r>
      <m:oMath>
        <m:acc>
          <m:accPr>
            <m:chr m:val="̃"/>
            <m:ctrlPr>
              <w:rPr>
                <w:rFonts w:ascii="Cambria Math" w:eastAsiaTheme="minorEastAsia" w:hAnsi="Cambria Math"/>
              </w:rPr>
            </m:ctrlPr>
          </m:accPr>
          <m:e>
            <m:r>
              <w:rPr>
                <w:rFonts w:ascii="Cambria Math" w:eastAsiaTheme="minorEastAsia" w:hAnsi="Cambria Math"/>
              </w:rPr>
              <m:t>x</m:t>
            </m:r>
          </m:e>
        </m:acc>
      </m:oMath>
      <w:r>
        <w:rPr>
          <w:rFonts w:eastAsiaTheme="minorEastAsia"/>
        </w:rPr>
        <w:t xml:space="preserve"> is used to signify the median.</w:t>
      </w:r>
    </w:p>
    <w:p w14:paraId="729D9241" w14:textId="77777777" w:rsidR="00A80EF3" w:rsidRDefault="00A80EF3" w:rsidP="00A80EF3">
      <w:pPr>
        <w:pStyle w:val="Heading3"/>
      </w:pPr>
      <w:r>
        <w:t>Summary of results from Melnikov</w:t>
      </w:r>
    </w:p>
    <w:p w14:paraId="2200B0BD" w14:textId="77777777" w:rsidR="00A80EF3" w:rsidRPr="00002B3D" w:rsidRDefault="00A80EF3" w:rsidP="00A80EF3">
      <w:r>
        <w:t xml:space="preserve">Melnikov et al. employed their DPCA methodology on hourly spatial medians of Houston stationary monitor hourly averages of 5 pollutants: ozone, carbon monoxide, nitrogen dioxide, sulfur dioxide, and fine particulate matter. The spatial medians were transformed to be log differenced due to exhibiting greater multivariate normal behavior. They proceeded to show plots of moving window averages of their hourly spatial medians, as well as dynamic correlation plots of their spatial medians, to justify the use of DPCA. Using 3D heatmaps and compact boxplots, they were able to explore seasonal and diurnal variations in EVs of their dynamic principal components. They concluded by arguing for the implementation of a dynamic approach </w:t>
      </w:r>
      <w:r>
        <w:lastRenderedPageBreak/>
        <w:t>because it made apparent seasonal and diurnal patterns which were not obvious in static PCA applications.</w:t>
      </w:r>
      <w:r>
        <w:fldChar w:fldCharType="begin"/>
      </w:r>
      <w:r>
        <w:instrText xml:space="preserve"> ADDIN ZOTERO_ITEM CSL_CITATION {"citationID":"cdzGF1vt","properties":{"formattedCitation":"\\super 27\\nosupersub{}","plainCitation":"27","noteIndex":0},"citationItems":[{"id":18,"uris":["http://zotero.org/users/4282478/items/2MH35R2R"],"uri":["http://zotero.org/users/4282478/items/2MH35R2R"],"itemData":{"id":18,"type":"article-journal","abstract":"The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B."}],"accessed":{"date-parts":[["2021",10,6]]},"issued":{"date-parts":[["2016",8,9]]}}}],"schema":"https://github.com/citation-style-language/schema/raw/master/csl-citation.json"} </w:instrText>
      </w:r>
      <w:r>
        <w:fldChar w:fldCharType="separate"/>
      </w:r>
      <w:r w:rsidRPr="00162789">
        <w:rPr>
          <w:rFonts w:ascii="Cambria" w:hAnsi="Cambria" w:cs="Times New Roman"/>
          <w:szCs w:val="24"/>
          <w:vertAlign w:val="superscript"/>
        </w:rPr>
        <w:t>27</w:t>
      </w:r>
      <w:r>
        <w:fldChar w:fldCharType="end"/>
      </w:r>
    </w:p>
    <w:p w14:paraId="0F891682" w14:textId="77777777" w:rsidR="00A80EF3" w:rsidRDefault="00A80EF3" w:rsidP="00A80EF3">
      <w:pPr>
        <w:pStyle w:val="Heading2"/>
      </w:pPr>
      <w:bookmarkStart w:id="4" w:name="_Toc95476711"/>
      <w:r>
        <w:t>D</w:t>
      </w:r>
      <w:bookmarkEnd w:id="4"/>
      <w:r>
        <w:t>PCA: Current Efforts</w:t>
      </w:r>
    </w:p>
    <w:p w14:paraId="19313685" w14:textId="77777777" w:rsidR="00A80EF3" w:rsidRPr="00502B3A" w:rsidRDefault="00A80EF3" w:rsidP="00A80EF3">
      <w:pPr>
        <w:pStyle w:val="Heading3"/>
      </w:pPr>
      <w:r>
        <w:t>Data</w:t>
      </w:r>
    </w:p>
    <w:p w14:paraId="10055620" w14:textId="77777777" w:rsidR="00A80EF3" w:rsidRDefault="00A80EF3" w:rsidP="00A80EF3">
      <w:pPr>
        <w:ind w:firstLine="360"/>
      </w:pPr>
      <w:r>
        <w:t xml:space="preserve">The Texas Commission on Environmental Quality (TCEQ) provides access to a wide variety of measurements from Texas air quality monitoring stations (sites). Used monitoring sites </w:t>
      </w:r>
      <w:proofErr w:type="gramStart"/>
      <w:r>
        <w:t>were located in</w:t>
      </w:r>
      <w:proofErr w:type="gramEnd"/>
      <w:r>
        <w:t xml:space="preserve"> the Houston-Galveston-Brazoria TCEQ region (12); see </w:t>
      </w:r>
      <w:r>
        <w:fldChar w:fldCharType="begin"/>
      </w:r>
      <w:r>
        <w:instrText xml:space="preserve"> REF _Ref94810846 \h </w:instrText>
      </w:r>
      <w:r>
        <w:fldChar w:fldCharType="separate"/>
      </w:r>
      <w:r>
        <w:t xml:space="preserve">Figure </w:t>
      </w:r>
      <w:r>
        <w:rPr>
          <w:noProof/>
        </w:rPr>
        <w:t>1</w:t>
      </w:r>
      <w:r>
        <w:fldChar w:fldCharType="end"/>
      </w:r>
      <w:r>
        <w:t xml:space="preserve">.  We follow </w:t>
      </w:r>
      <w:proofErr w:type="spellStart"/>
      <w:r>
        <w:t>Melnkov</w:t>
      </w:r>
      <w:proofErr w:type="spellEnd"/>
      <w:r>
        <w:t xml:space="preserve"> et al. in using the same 5 pollutants (ozone (</w:t>
      </w:r>
      <m:oMath>
        <m:sSub>
          <m:sSubPr>
            <m:ctrlPr>
              <w:rPr>
                <w:rFonts w:ascii="Cambria Math" w:hAnsi="Cambria Math"/>
              </w:rPr>
            </m:ctrlPr>
          </m:sSubPr>
          <m:e>
            <m:r>
              <m:rPr>
                <m:nor/>
              </m:rPr>
              <w:rPr>
                <w:rFonts w:ascii="Cambria Math" w:hAnsi="Cambria Math"/>
              </w:rPr>
              <m:t>O</m:t>
            </m:r>
          </m:e>
          <m:sub>
            <m:r>
              <m:rPr>
                <m:sty m:val="p"/>
              </m:rPr>
              <w:rPr>
                <w:rFonts w:ascii="Cambria Math" w:hAnsi="Cambria Math"/>
              </w:rPr>
              <m:t>3</m:t>
            </m:r>
          </m:sub>
        </m:sSub>
      </m:oMath>
      <w:r>
        <w:t xml:space="preserve"> in ppb), carbon monoxide (</w:t>
      </w:r>
      <m:oMath>
        <m:r>
          <m:rPr>
            <m:nor/>
          </m:rPr>
          <w:rPr>
            <w:rFonts w:ascii="Cambria Math" w:hAnsi="Cambria Math"/>
          </w:rPr>
          <m:t>CO</m:t>
        </m:r>
      </m:oMath>
      <w:r>
        <w:t xml:space="preserve"> in ppm), nitrogen dioxide (</w:t>
      </w:r>
      <m:oMath>
        <m:sSub>
          <m:sSubPr>
            <m:ctrlPr>
              <w:rPr>
                <w:rFonts w:ascii="Cambria Math" w:hAnsi="Cambria Math"/>
              </w:rPr>
            </m:ctrlPr>
          </m:sSubPr>
          <m:e>
            <m:r>
              <m:rPr>
                <m:nor/>
              </m:rPr>
              <w:rPr>
                <w:rFonts w:ascii="Cambria Math" w:hAnsi="Cambria Math"/>
              </w:rPr>
              <m:t>NO</m:t>
            </m:r>
          </m:e>
          <m:sub>
            <m:r>
              <m:rPr>
                <m:sty m:val="p"/>
              </m:rPr>
              <w:rPr>
                <w:rFonts w:ascii="Cambria Math" w:hAnsi="Cambria Math"/>
              </w:rPr>
              <m:t>2</m:t>
            </m:r>
          </m:sub>
        </m:sSub>
      </m:oMath>
      <w:r>
        <w:t xml:space="preserve"> in ppb), sulfur dioxide (</w:t>
      </w:r>
      <m:oMath>
        <m:sSub>
          <m:sSubPr>
            <m:ctrlPr>
              <w:rPr>
                <w:rFonts w:ascii="Cambria Math" w:hAnsi="Cambria Math"/>
              </w:rPr>
            </m:ctrlPr>
          </m:sSubPr>
          <m:e>
            <m:r>
              <m:rPr>
                <m:nor/>
              </m:rPr>
              <w:rPr>
                <w:rFonts w:ascii="Cambria Math" w:hAnsi="Cambria Math"/>
              </w:rPr>
              <m:t>SO</m:t>
            </m:r>
          </m:e>
          <m:sub>
            <m:r>
              <m:rPr>
                <m:sty m:val="p"/>
              </m:rPr>
              <w:rPr>
                <w:rFonts w:ascii="Cambria Math" w:hAnsi="Cambria Math"/>
              </w:rPr>
              <m:t>2</m:t>
            </m:r>
          </m:sub>
        </m:sSub>
      </m:oMath>
      <w:r>
        <w:t xml:space="preserve"> in ppb), and fine particulate matter (</w:t>
      </w:r>
      <m:oMath>
        <m:sSub>
          <m:sSubPr>
            <m:ctrlPr>
              <w:rPr>
                <w:rFonts w:ascii="Cambria Math" w:hAnsi="Cambria Math"/>
              </w:rPr>
            </m:ctrlPr>
          </m:sSubPr>
          <m:e>
            <m:r>
              <m:rPr>
                <m:nor/>
              </m:rPr>
              <w:rPr>
                <w:rFonts w:ascii="Cambria Math" w:hAnsi="Cambria Math"/>
              </w:rPr>
              <m:t>PM</m:t>
            </m:r>
          </m:e>
          <m:sub>
            <m:r>
              <m:rPr>
                <m:sty m:val="p"/>
              </m:rPr>
              <w:rPr>
                <w:rFonts w:ascii="Cambria Math" w:hAnsi="Cambria Math"/>
              </w:rPr>
              <m:t>2.5</m:t>
            </m:r>
          </m:sub>
        </m:sSub>
      </m:oMath>
      <w:r>
        <w:t xml:space="preserve"> in </w:t>
      </w:r>
      <m:oMath>
        <m:r>
          <m:rPr>
            <m:sty m:val="p"/>
          </m:rPr>
          <w:rPr>
            <w:rFonts w:ascii="Cambria Math" w:hAnsi="Cambria Math"/>
          </w:rPr>
          <m:t>μ</m:t>
        </m:r>
        <m:r>
          <m:rPr>
            <m:nor/>
          </m:rPr>
          <w:rPr>
            <w:rFonts w:ascii="Cambria Math" w:hAnsi="Cambria Math"/>
          </w:rPr>
          <m:t>g</m:t>
        </m:r>
        <m:r>
          <m:rPr>
            <m:lit/>
            <m:sty m:val="p"/>
          </m:rPr>
          <w:rPr>
            <w:rFonts w:ascii="Cambria Math" w:hAnsi="Cambria Math"/>
          </w:rPr>
          <m:t>/</m:t>
        </m:r>
        <m:sSup>
          <m:sSupPr>
            <m:ctrlPr>
              <w:rPr>
                <w:rFonts w:ascii="Cambria Math" w:hAnsi="Cambria Math"/>
              </w:rPr>
            </m:ctrlPr>
          </m:sSupPr>
          <m:e>
            <m:r>
              <m:rPr>
                <m:nor/>
              </m:rPr>
              <w:rPr>
                <w:rFonts w:ascii="Cambria Math" w:hAnsi="Cambria Math"/>
              </w:rPr>
              <m:t>m</m:t>
            </m:r>
          </m:e>
          <m:sup>
            <m:r>
              <m:rPr>
                <m:sty m:val="p"/>
              </m:rPr>
              <w:rPr>
                <w:rFonts w:ascii="Cambria Math" w:hAnsi="Cambria Math"/>
              </w:rPr>
              <m:t>3</m:t>
            </m:r>
          </m:sup>
        </m:sSup>
      </m:oMath>
      <w:r>
        <w:t>)), but choose to incorporate 4 additional meteorological variables, which were temperature (</w:t>
      </w:r>
      <m:oMath>
        <m:r>
          <m:rPr>
            <m:nor/>
          </m:rPr>
          <w:rPr>
            <w:rFonts w:ascii="Cambria Math" w:hAnsi="Cambria Math"/>
          </w:rPr>
          <m:t>Temp</m:t>
        </m:r>
      </m:oMath>
      <w:r>
        <w:t xml:space="preserve">   in </w:t>
      </w:r>
      <m:oMath>
        <m:sSup>
          <m:sSupPr>
            <m:ctrlPr>
              <w:rPr>
                <w:rFonts w:ascii="Cambria Math" w:hAnsi="Cambria Math"/>
                <w:i/>
              </w:rPr>
            </m:ctrlPr>
          </m:sSupPr>
          <m:e>
            <m:ctrlPr>
              <w:rPr>
                <w:rFonts w:ascii="Cambria Math" w:hAnsi="Cambria Math"/>
              </w:rPr>
            </m:ctrlPr>
          </m:e>
          <m:sup>
            <m:r>
              <m:rPr>
                <m:sty m:val="p"/>
              </m:rPr>
              <w:rPr>
                <w:rFonts w:ascii="Cambria Math" w:hAnsi="Cambria Math"/>
              </w:rPr>
              <m:t>∘</m:t>
            </m:r>
          </m:sup>
        </m:sSup>
      </m:oMath>
      <w:r>
        <w:t>F), wind speed (</w:t>
      </w:r>
      <m:oMath>
        <m:r>
          <m:rPr>
            <m:nor/>
          </m:rPr>
          <w:rPr>
            <w:rFonts w:ascii="Cambria Math" w:hAnsi="Cambria Math"/>
          </w:rPr>
          <m:t>WS</m:t>
        </m:r>
      </m:oMath>
      <w:r>
        <w:t xml:space="preserve"> in mph), relative humidity (</w:t>
      </w:r>
      <m:oMath>
        <m:r>
          <m:rPr>
            <m:nor/>
          </m:rPr>
          <w:rPr>
            <w:rFonts w:ascii="Cambria Math" w:hAnsi="Cambria Math"/>
          </w:rPr>
          <m:t>RH (%</m:t>
        </m:r>
        <m:r>
          <w:rPr>
            <w:rFonts w:ascii="Cambria Math" w:eastAsiaTheme="minorEastAsia" w:hAnsi="Cambria Math"/>
          </w:rPr>
          <m:t>)</m:t>
        </m:r>
      </m:oMath>
      <w:r>
        <w:t>), and barometric pressure (</w:t>
      </w:r>
      <m:oMath>
        <m:r>
          <m:rPr>
            <m:nor/>
          </m:rPr>
          <w:rPr>
            <w:rFonts w:ascii="Cambria Math" w:hAnsi="Cambria Math"/>
          </w:rPr>
          <m:t>P</m:t>
        </m:r>
      </m:oMath>
      <w:r>
        <w:t xml:space="preserve"> in mb). We use and update Melnikov’s algorithms for running DPCA published in </w:t>
      </w:r>
      <m:oMath>
        <m:r>
          <m:rPr>
            <m:sty m:val="bi"/>
          </m:rPr>
          <w:rPr>
            <w:rFonts w:ascii="Cambria Math" w:hAnsi="Cambria Math"/>
          </w:rPr>
          <m:t>R</m:t>
        </m:r>
      </m:oMath>
      <w:r>
        <w:t xml:space="preserve"> (version 4.x) and utilizing core (base, stats), </w:t>
      </w:r>
      <w:proofErr w:type="spellStart"/>
      <w:r>
        <w:t>xts</w:t>
      </w:r>
      <w:proofErr w:type="spellEnd"/>
      <w:r>
        <w:t xml:space="preserve">, lattice, and </w:t>
      </w:r>
      <w:proofErr w:type="spellStart"/>
      <w:r>
        <w:t>magick</w:t>
      </w:r>
      <w:proofErr w:type="spellEnd"/>
      <w:r>
        <w:t xml:space="preserve"> packages. We choose to update the time period of the analysis, using dates which spanned a recent </w:t>
      </w:r>
      <w:proofErr w:type="gramStart"/>
      <w:r>
        <w:t>4 year</w:t>
      </w:r>
      <w:proofErr w:type="gramEnd"/>
      <w:r>
        <w:t xml:space="preserve"> period (1/1/2016 00:00 CST to 12/31/2019 23:00 CST, 1460 total days). We elect to use the same strategy to address transitions between standard time and daylight savings time as Melnikov, which is to remove one of the duplicate observations taken in November (CDT to CST) and interpolate between 12 AM and 2 AM for the measurement at 1 AM in March (CST to CDT). It is important to note that not all sites measured all parameters used in this study. </w:t>
      </w:r>
      <w:r>
        <w:fldChar w:fldCharType="begin"/>
      </w:r>
      <w:r>
        <w:instrText xml:space="preserve"> REF _Ref94812499 \h </w:instrText>
      </w:r>
      <w:r>
        <w:fldChar w:fldCharType="separate"/>
      </w:r>
      <w:r>
        <w:t xml:space="preserve">Table </w:t>
      </w:r>
      <w:r>
        <w:rPr>
          <w:noProof/>
        </w:rPr>
        <w:t>1</w:t>
      </w:r>
      <w:r>
        <w:fldChar w:fldCharType="end"/>
      </w:r>
      <w:r>
        <w:t xml:space="preserve"> describes the sites used and the parameters they measured.</w:t>
      </w:r>
    </w:p>
    <w:p w14:paraId="37C5B9E1" w14:textId="77777777" w:rsidR="00A80EF3" w:rsidRDefault="00A80EF3" w:rsidP="00A80EF3">
      <w:pPr>
        <w:pStyle w:val="Caption"/>
      </w:pPr>
      <w:bookmarkStart w:id="5" w:name="_Ref94810846"/>
      <w:r>
        <w:lastRenderedPageBreak/>
        <w:t xml:space="preserve">Figure </w:t>
      </w:r>
      <w:r>
        <w:fldChar w:fldCharType="begin"/>
      </w:r>
      <w:r>
        <w:instrText xml:space="preserve"> SEQ Figure \* ARABIC </w:instrText>
      </w:r>
      <w:r>
        <w:fldChar w:fldCharType="separate"/>
      </w:r>
      <w:r>
        <w:t>1</w:t>
      </w:r>
      <w:r>
        <w:fldChar w:fldCharType="end"/>
      </w:r>
      <w:bookmarkEnd w:id="5"/>
      <w:r>
        <w:drawing>
          <wp:anchor distT="0" distB="0" distL="114300" distR="114300" simplePos="0" relativeHeight="251660288" behindDoc="1" locked="0" layoutInCell="1" allowOverlap="1" wp14:anchorId="297D49D9" wp14:editId="4686D2F6">
            <wp:simplePos x="0" y="0"/>
            <wp:positionH relativeFrom="margin">
              <wp:align>center</wp:align>
            </wp:positionH>
            <wp:positionV relativeFrom="paragraph">
              <wp:posOffset>7951</wp:posOffset>
            </wp:positionV>
            <wp:extent cx="1860605" cy="3388802"/>
            <wp:effectExtent l="0" t="0" r="6350" b="2540"/>
            <wp:wrapTopAndBottom/>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0605" cy="3388802"/>
                    </a:xfrm>
                    <a:prstGeom prst="rect">
                      <a:avLst/>
                    </a:prstGeom>
                    <a:noFill/>
                    <a:ln>
                      <a:noFill/>
                    </a:ln>
                  </pic:spPr>
                </pic:pic>
              </a:graphicData>
            </a:graphic>
          </wp:anchor>
        </w:drawing>
      </w:r>
      <w:r>
        <w:t>. Map of TCEQ monitors used in this analysis. Map depicts the TCEQ Houston-Galveston-Brazoria regulatory region.</w:t>
      </w:r>
    </w:p>
    <w:p w14:paraId="3778C5AE" w14:textId="77777777" w:rsidR="00A80EF3" w:rsidRDefault="00A80EF3" w:rsidP="00A80EF3">
      <w:r>
        <w:t xml:space="preserve">In using algorithms originally written by Melnikov et al., we note that we elect to log transform rather than log difference </w:t>
      </w:r>
      <w:proofErr w:type="gramStart"/>
      <w:r>
        <w:t>transform</w:t>
      </w:r>
      <w:proofErr w:type="gramEnd"/>
      <w:r>
        <w:t xml:space="preserve"> the derived hourly spatial medians of the 9 measured variables. We acknowledge that PCA is sensitive to outliers and that some transformation is necessary; however, we follow conventional environmental practice and log transform the hourly spatial medians instead of log differencing them.</w:t>
      </w:r>
      <w:r>
        <w:fldChar w:fldCharType="begin"/>
      </w:r>
      <w:r>
        <w:instrText xml:space="preserve"> ADDIN ZOTERO_ITEM CSL_CITATION {"citationID":"7e6MZL9C","properties":{"formattedCitation":"\\super 15\\nosupersub{}","plainCitation":"15","noteIndex":0},"citationItems":[{"id":58,"uris":["http://zotero.org/users/4282478/items/I7M9CPTB"],"uri":["http://zotero.org/users/4282478/items/I7M9CPTB"],"itemData":{"id":58,"type":"book","abstract":"Expanded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fldChar w:fldCharType="separate"/>
      </w:r>
      <w:r w:rsidRPr="005325F1">
        <w:rPr>
          <w:rFonts w:ascii="Cambria" w:hAnsi="Cambria" w:cs="Times New Roman"/>
          <w:szCs w:val="24"/>
          <w:vertAlign w:val="superscript"/>
        </w:rPr>
        <w:t>15</w:t>
      </w:r>
      <w:r>
        <w:fldChar w:fldCharType="end"/>
      </w:r>
      <w:r>
        <w:t xml:space="preserve"> We also note that the </w:t>
      </w:r>
      <w:r>
        <w:lastRenderedPageBreak/>
        <w:t xml:space="preserve">EVs returned by log transformed observations is consistently higher than the log differenced </w:t>
      </w:r>
      <w:r w:rsidRPr="00CC4DE0">
        <w:rPr>
          <w:noProof/>
        </w:rPr>
        <w:drawing>
          <wp:anchor distT="0" distB="0" distL="114300" distR="114300" simplePos="0" relativeHeight="251664384" behindDoc="0" locked="0" layoutInCell="1" allowOverlap="1" wp14:anchorId="3D580BFF" wp14:editId="75D10D4D">
            <wp:simplePos x="0" y="0"/>
            <wp:positionH relativeFrom="margin">
              <wp:align>right</wp:align>
            </wp:positionH>
            <wp:positionV relativeFrom="paragraph">
              <wp:posOffset>676275</wp:posOffset>
            </wp:positionV>
            <wp:extent cx="5486400" cy="3535045"/>
            <wp:effectExtent l="0" t="0" r="0" b="8255"/>
            <wp:wrapTopAndBottom/>
            <wp:docPr id="28" name="Picture 2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line chart&#10;&#10;Description automatically generated"/>
                    <pic:cNvPicPr/>
                  </pic:nvPicPr>
                  <pic:blipFill rotWithShape="1">
                    <a:blip r:embed="rId7">
                      <a:extLst>
                        <a:ext uri="{28A0092B-C50C-407E-A947-70E740481C1C}">
                          <a14:useLocalDpi xmlns:a14="http://schemas.microsoft.com/office/drawing/2010/main" val="0"/>
                        </a:ext>
                      </a:extLst>
                    </a:blip>
                    <a:srcRect t="1591" b="1"/>
                    <a:stretch/>
                  </pic:blipFill>
                  <pic:spPr bwMode="auto">
                    <a:xfrm>
                      <a:off x="0" y="0"/>
                      <a:ext cx="5486400" cy="35350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transformed observations, as shown in </w:t>
      </w:r>
      <w:r>
        <w:fldChar w:fldCharType="begin"/>
      </w:r>
      <w:r>
        <w:instrText xml:space="preserve"> REF _Ref95484161 \h </w:instrText>
      </w:r>
      <w:r>
        <w:fldChar w:fldCharType="separate"/>
      </w:r>
      <w:r>
        <w:t xml:space="preserve">Figure </w:t>
      </w:r>
      <w:r>
        <w:rPr>
          <w:noProof/>
        </w:rPr>
        <w:t>2</w:t>
      </w:r>
      <w:r>
        <w:fldChar w:fldCharType="end"/>
      </w:r>
      <w:r>
        <w:t xml:space="preserve">. </w:t>
      </w:r>
    </w:p>
    <w:p w14:paraId="2F446EFE" w14:textId="77777777" w:rsidR="00A80EF3" w:rsidRDefault="00A80EF3" w:rsidP="00A80EF3">
      <w:pPr>
        <w:pStyle w:val="Caption"/>
      </w:pPr>
      <w:bookmarkStart w:id="6" w:name="_Ref95484161"/>
      <w:r>
        <w:t xml:space="preserve">Figure </w:t>
      </w:r>
      <w:r>
        <w:fldChar w:fldCharType="begin"/>
      </w:r>
      <w:r>
        <w:instrText xml:space="preserve"> SEQ Figure \* ARABIC </w:instrText>
      </w:r>
      <w:r>
        <w:fldChar w:fldCharType="separate"/>
      </w:r>
      <w:r>
        <w:t>2</w:t>
      </w:r>
      <w:r>
        <w:fldChar w:fldCharType="end"/>
      </w:r>
      <w:bookmarkEnd w:id="6"/>
      <w:r>
        <w:t xml:space="preserve">. Mean EV plotted by each hour for non-transformed (SAO), log-transformed (LSAO), and log-differenced-transformed (NSAO) observations. </w:t>
      </w:r>
      <m:oMath>
        <m:bar>
          <m:barPr>
            <m:pos m:val="top"/>
            <m:ctrlPr>
              <w:rPr>
                <w:rFonts w:ascii="Cambria Math" w:hAnsi="Cambria Math"/>
              </w:rPr>
            </m:ctrlPr>
          </m:barPr>
          <m:e>
            <m:r>
              <m:rPr>
                <m:sty m:val="bi"/>
              </m:rPr>
              <w:rPr>
                <w:rFonts w:ascii="Cambria Math" w:hAnsi="Cambria Math"/>
              </w:rPr>
              <m:t>x</m:t>
            </m:r>
          </m:e>
        </m:bar>
      </m:oMath>
      <w:r>
        <w:rPr>
          <w:rFonts w:eastAsiaTheme="minorEastAsia"/>
        </w:rPr>
        <w:t xml:space="preserve"> designates the spatial mean, while </w:t>
      </w:r>
      <m:oMath>
        <m:acc>
          <m:accPr>
            <m:chr m:val="̃"/>
            <m:ctrlPr>
              <w:rPr>
                <w:rFonts w:ascii="Cambria Math" w:eastAsiaTheme="minorEastAsia" w:hAnsi="Cambria Math"/>
              </w:rPr>
            </m:ctrlPr>
          </m:accPr>
          <m:e>
            <m:r>
              <m:rPr>
                <m:sty m:val="bi"/>
              </m:rPr>
              <w:rPr>
                <w:rFonts w:ascii="Cambria Math" w:eastAsiaTheme="minorEastAsia" w:hAnsi="Cambria Math"/>
              </w:rPr>
              <m:t>x</m:t>
            </m:r>
          </m:e>
        </m:acc>
      </m:oMath>
      <w:r>
        <w:rPr>
          <w:rFonts w:eastAsiaTheme="minorEastAsia"/>
        </w:rPr>
        <w:t xml:space="preserve"> designates the spatial median. Log-transformed spatial medians consistently return higher values of EV across all hours of the day. </w:t>
      </w:r>
    </w:p>
    <w:p w14:paraId="6F62C463" w14:textId="77777777" w:rsidR="00A80EF3" w:rsidRDefault="00A80EF3" w:rsidP="00A80EF3">
      <w:r>
        <w:t xml:space="preserve">Missing observations were imputed with monotone Hermitian splines for up to 4 consecutive missing observations, as done in Melnikov et al. </w:t>
      </w:r>
      <w:r>
        <w:fldChar w:fldCharType="begin"/>
      </w:r>
      <w:r>
        <w:instrText xml:space="preserve"> REF _Ref94813248 \h </w:instrText>
      </w:r>
      <w:r>
        <w:fldChar w:fldCharType="separate"/>
      </w:r>
      <w:r>
        <w:t xml:space="preserve">Table </w:t>
      </w:r>
      <w:r>
        <w:rPr>
          <w:noProof/>
        </w:rPr>
        <w:t>2</w:t>
      </w:r>
      <w:r>
        <w:fldChar w:fldCharType="end"/>
      </w:r>
      <w:r>
        <w:t xml:space="preserve"> gives the percentages of observations interpolated for each pollutant throughout the study period.</w:t>
      </w:r>
    </w:p>
    <w:p w14:paraId="3B14FA0F" w14:textId="77777777" w:rsidR="00A80EF3" w:rsidRDefault="00A80EF3" w:rsidP="00A80EF3"/>
    <w:p w14:paraId="2EC9E119" w14:textId="77777777" w:rsidR="00A80EF3" w:rsidRDefault="00A80EF3" w:rsidP="00A80EF3"/>
    <w:p w14:paraId="11CD5925" w14:textId="77777777" w:rsidR="00A80EF3" w:rsidRDefault="00A80EF3" w:rsidP="00A80EF3">
      <w:pPr>
        <w:pStyle w:val="Caption"/>
      </w:pPr>
      <w:bookmarkStart w:id="7" w:name="_Ref94812499"/>
      <w:r>
        <w:lastRenderedPageBreak/>
        <w:t xml:space="preserve">Table </w:t>
      </w:r>
      <w:r>
        <w:fldChar w:fldCharType="begin"/>
      </w:r>
      <w:r>
        <w:instrText xml:space="preserve"> SEQ Table \* ARABIC </w:instrText>
      </w:r>
      <w:r>
        <w:fldChar w:fldCharType="separate"/>
      </w:r>
      <w:r>
        <w:t>1</w:t>
      </w:r>
      <w:r>
        <w:fldChar w:fldCharType="end"/>
      </w:r>
      <w:bookmarkEnd w:id="7"/>
      <w:r w:rsidRPr="00F44752">
        <w:drawing>
          <wp:anchor distT="0" distB="0" distL="114300" distR="114300" simplePos="0" relativeHeight="251661312" behindDoc="0" locked="0" layoutInCell="1" allowOverlap="1" wp14:anchorId="6FF830BD" wp14:editId="1F72C6E9">
            <wp:simplePos x="0" y="0"/>
            <wp:positionH relativeFrom="margin">
              <wp:align>center</wp:align>
            </wp:positionH>
            <wp:positionV relativeFrom="paragraph">
              <wp:posOffset>0</wp:posOffset>
            </wp:positionV>
            <wp:extent cx="4963676" cy="5525408"/>
            <wp:effectExtent l="0" t="0" r="8890" b="0"/>
            <wp:wrapTopAndBottom/>
            <wp:docPr id="6"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63676" cy="5525408"/>
                    </a:xfrm>
                    <a:prstGeom prst="rect">
                      <a:avLst/>
                    </a:prstGeom>
                  </pic:spPr>
                </pic:pic>
              </a:graphicData>
            </a:graphic>
          </wp:anchor>
        </w:drawing>
      </w:r>
      <w:r>
        <w:t>. TCEQ monitors, along with their latititude/longitude coordinates and measured parameters, used in the analysis.</w:t>
      </w:r>
    </w:p>
    <w:p w14:paraId="0DE1AAD9" w14:textId="77777777" w:rsidR="00A80EF3" w:rsidRDefault="00A80EF3" w:rsidP="00A80EF3">
      <w:pPr>
        <w:ind w:firstLine="360"/>
      </w:pPr>
    </w:p>
    <w:tbl>
      <w:tblPr>
        <w:tblStyle w:val="GridTable1Light"/>
        <w:tblpPr w:leftFromText="180" w:rightFromText="180" w:vertAnchor="page" w:horzAnchor="margin" w:tblpY="1411"/>
        <w:tblW w:w="0" w:type="auto"/>
        <w:tblLayout w:type="fixed"/>
        <w:tblLook w:val="04A0" w:firstRow="1" w:lastRow="0" w:firstColumn="1" w:lastColumn="0" w:noHBand="0" w:noVBand="1"/>
      </w:tblPr>
      <w:tblGrid>
        <w:gridCol w:w="1800"/>
        <w:gridCol w:w="810"/>
        <w:gridCol w:w="720"/>
        <w:gridCol w:w="720"/>
        <w:gridCol w:w="720"/>
        <w:gridCol w:w="768"/>
        <w:gridCol w:w="847"/>
        <w:gridCol w:w="771"/>
        <w:gridCol w:w="763"/>
        <w:gridCol w:w="706"/>
      </w:tblGrid>
      <w:tr w:rsidR="00A80EF3" w14:paraId="1057F22A" w14:textId="77777777" w:rsidTr="005F3A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5640879" w14:textId="77777777" w:rsidR="00A80EF3" w:rsidRDefault="00A80EF3" w:rsidP="005F3A94">
            <w:pPr>
              <w:ind w:firstLine="0"/>
            </w:pPr>
          </w:p>
        </w:tc>
        <w:tc>
          <w:tcPr>
            <w:tcW w:w="810" w:type="dxa"/>
          </w:tcPr>
          <w:p w14:paraId="09A5C1EF"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eastAsiaTheme="majorEastAsia" w:hAnsi="Cambria Math" w:cstheme="majorBidi"/>
                        <w:i/>
                        <w:iCs/>
                      </w:rPr>
                    </m:ctrlPr>
                  </m:sSubPr>
                  <m:e>
                    <m:r>
                      <m:rPr>
                        <m:sty m:val="bi"/>
                      </m:rPr>
                      <w:rPr>
                        <w:rFonts w:ascii="Cambria Math" w:hAnsi="Cambria Math"/>
                      </w:rPr>
                      <m:t>O</m:t>
                    </m:r>
                    <m:ctrlPr>
                      <w:rPr>
                        <w:rFonts w:ascii="Cambria Math" w:hAnsi="Cambria Math"/>
                      </w:rPr>
                    </m:ctrlPr>
                  </m:e>
                  <m:sub>
                    <m:r>
                      <m:rPr>
                        <m:sty m:val="b"/>
                      </m:rPr>
                      <w:rPr>
                        <w:rFonts w:ascii="Cambria Math" w:hAnsi="Cambria Math"/>
                      </w:rPr>
                      <m:t>3</m:t>
                    </m:r>
                  </m:sub>
                </m:sSub>
              </m:oMath>
            </m:oMathPara>
          </w:p>
        </w:tc>
        <w:tc>
          <w:tcPr>
            <w:tcW w:w="720" w:type="dxa"/>
          </w:tcPr>
          <w:p w14:paraId="370D953D"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CO</m:t>
                </m:r>
              </m:oMath>
            </m:oMathPara>
          </w:p>
        </w:tc>
        <w:tc>
          <w:tcPr>
            <w:tcW w:w="720" w:type="dxa"/>
          </w:tcPr>
          <w:p w14:paraId="1F230D78"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NO</m:t>
                </m:r>
                <m:sSub>
                  <m:sSubPr>
                    <m:ctrlPr>
                      <w:rPr>
                        <w:rFonts w:ascii="Cambria Math" w:hAnsi="Cambria Math"/>
                        <w:i/>
                      </w:rPr>
                    </m:ctrlPr>
                  </m:sSubPr>
                  <m:e>
                    <m:r>
                      <m:rPr>
                        <m:sty m:val="b"/>
                      </m:rPr>
                      <w:rPr>
                        <w:rFonts w:ascii="Cambria Math" w:hAnsi="Cambria Math"/>
                      </w:rPr>
                      <w:softHyphen/>
                    </m:r>
                  </m:e>
                  <m:sub>
                    <m:r>
                      <m:rPr>
                        <m:sty m:val="bi"/>
                      </m:rPr>
                      <w:rPr>
                        <w:rFonts w:ascii="Cambria Math" w:hAnsi="Cambria Math"/>
                      </w:rPr>
                      <m:t>2</m:t>
                    </m:r>
                  </m:sub>
                </m:sSub>
              </m:oMath>
            </m:oMathPara>
          </w:p>
        </w:tc>
        <w:tc>
          <w:tcPr>
            <w:tcW w:w="720" w:type="dxa"/>
          </w:tcPr>
          <w:p w14:paraId="1EC872F0"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S</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2</m:t>
                    </m:r>
                  </m:sub>
                </m:sSub>
              </m:oMath>
            </m:oMathPara>
          </w:p>
        </w:tc>
        <w:tc>
          <w:tcPr>
            <w:tcW w:w="768" w:type="dxa"/>
          </w:tcPr>
          <w:p w14:paraId="0AEE1976"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P</m:t>
                </m:r>
                <m:sSub>
                  <m:sSubPr>
                    <m:ctrlPr>
                      <w:rPr>
                        <w:rFonts w:ascii="Cambria Math" w:hAnsi="Cambria Math"/>
                        <w:i/>
                      </w:rPr>
                    </m:ctrlPr>
                  </m:sSubPr>
                  <m:e>
                    <m:r>
                      <m:rPr>
                        <m:sty m:val="bi"/>
                      </m:rPr>
                      <w:rPr>
                        <w:rFonts w:ascii="Cambria Math" w:hAnsi="Cambria Math"/>
                      </w:rPr>
                      <m:t>M</m:t>
                    </m:r>
                  </m:e>
                  <m:sub>
                    <m:r>
                      <m:rPr>
                        <m:sty m:val="bi"/>
                      </m:rPr>
                      <w:rPr>
                        <w:rFonts w:ascii="Cambria Math" w:hAnsi="Cambria Math"/>
                      </w:rPr>
                      <m:t>2.5</m:t>
                    </m:r>
                  </m:sub>
                </m:sSub>
              </m:oMath>
            </m:oMathPara>
          </w:p>
        </w:tc>
        <w:tc>
          <w:tcPr>
            <w:tcW w:w="847" w:type="dxa"/>
          </w:tcPr>
          <w:p w14:paraId="6B538727"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Temp</m:t>
                </m:r>
              </m:oMath>
            </m:oMathPara>
          </w:p>
        </w:tc>
        <w:tc>
          <w:tcPr>
            <w:tcW w:w="771" w:type="dxa"/>
          </w:tcPr>
          <w:p w14:paraId="7E74C159"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WS</m:t>
                </m:r>
              </m:oMath>
            </m:oMathPara>
          </w:p>
        </w:tc>
        <w:tc>
          <w:tcPr>
            <w:tcW w:w="763" w:type="dxa"/>
          </w:tcPr>
          <w:p w14:paraId="602A7FF9"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RH</m:t>
                </m:r>
              </m:oMath>
            </m:oMathPara>
          </w:p>
        </w:tc>
        <w:tc>
          <w:tcPr>
            <w:tcW w:w="706" w:type="dxa"/>
          </w:tcPr>
          <w:p w14:paraId="597C4B0C" w14:textId="77777777" w:rsidR="00A80EF3" w:rsidRPr="00685D37"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P</m:t>
                </m:r>
              </m:oMath>
            </m:oMathPara>
          </w:p>
        </w:tc>
      </w:tr>
      <w:tr w:rsidR="00A80EF3" w14:paraId="550FC09C" w14:textId="77777777" w:rsidTr="005F3A94">
        <w:tc>
          <w:tcPr>
            <w:cnfStyle w:val="001000000000" w:firstRow="0" w:lastRow="0" w:firstColumn="1" w:lastColumn="0" w:oddVBand="0" w:evenVBand="0" w:oddHBand="0" w:evenHBand="0" w:firstRowFirstColumn="0" w:firstRowLastColumn="0" w:lastRowFirstColumn="0" w:lastRowLastColumn="0"/>
            <w:tcW w:w="1800" w:type="dxa"/>
          </w:tcPr>
          <w:p w14:paraId="18F1F0D4" w14:textId="77777777" w:rsidR="00A80EF3" w:rsidRDefault="00A80EF3" w:rsidP="005F3A94">
            <w:pPr>
              <w:ind w:firstLine="0"/>
            </w:pPr>
            <w:r>
              <w:t>% Interpolated</w:t>
            </w:r>
          </w:p>
        </w:tc>
        <w:tc>
          <w:tcPr>
            <w:tcW w:w="810" w:type="dxa"/>
          </w:tcPr>
          <w:p w14:paraId="14B0B801"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0.85</w:t>
            </w:r>
          </w:p>
        </w:tc>
        <w:tc>
          <w:tcPr>
            <w:tcW w:w="720" w:type="dxa"/>
          </w:tcPr>
          <w:p w14:paraId="5A8FC0AC"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0.83</w:t>
            </w:r>
          </w:p>
        </w:tc>
        <w:tc>
          <w:tcPr>
            <w:tcW w:w="720" w:type="dxa"/>
          </w:tcPr>
          <w:p w14:paraId="57DF7D2B"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1.89</w:t>
            </w:r>
          </w:p>
        </w:tc>
        <w:tc>
          <w:tcPr>
            <w:tcW w:w="720" w:type="dxa"/>
          </w:tcPr>
          <w:p w14:paraId="33D1D009"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1.45</w:t>
            </w:r>
          </w:p>
        </w:tc>
        <w:tc>
          <w:tcPr>
            <w:tcW w:w="768" w:type="dxa"/>
          </w:tcPr>
          <w:p w14:paraId="1326B4F3"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0.42</w:t>
            </w:r>
          </w:p>
        </w:tc>
        <w:tc>
          <w:tcPr>
            <w:tcW w:w="847" w:type="dxa"/>
          </w:tcPr>
          <w:p w14:paraId="4EF89349"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0.09</w:t>
            </w:r>
          </w:p>
        </w:tc>
        <w:tc>
          <w:tcPr>
            <w:tcW w:w="771" w:type="dxa"/>
          </w:tcPr>
          <w:p w14:paraId="31373C86"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0.11</w:t>
            </w:r>
          </w:p>
        </w:tc>
        <w:tc>
          <w:tcPr>
            <w:tcW w:w="763" w:type="dxa"/>
          </w:tcPr>
          <w:p w14:paraId="2F19B4D3"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0.25</w:t>
            </w:r>
          </w:p>
        </w:tc>
        <w:tc>
          <w:tcPr>
            <w:tcW w:w="706" w:type="dxa"/>
          </w:tcPr>
          <w:p w14:paraId="083ADBD2"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0.1</w:t>
            </w:r>
          </w:p>
        </w:tc>
      </w:tr>
      <w:tr w:rsidR="00A80EF3" w14:paraId="642BD2C8" w14:textId="77777777" w:rsidTr="005F3A94">
        <w:tc>
          <w:tcPr>
            <w:cnfStyle w:val="001000000000" w:firstRow="0" w:lastRow="0" w:firstColumn="1" w:lastColumn="0" w:oddVBand="0" w:evenVBand="0" w:oddHBand="0" w:evenHBand="0" w:firstRowFirstColumn="0" w:firstRowLastColumn="0" w:lastRowFirstColumn="0" w:lastRowLastColumn="0"/>
            <w:tcW w:w="1800" w:type="dxa"/>
          </w:tcPr>
          <w:p w14:paraId="585CF8C9" w14:textId="77777777" w:rsidR="00A80EF3" w:rsidRDefault="00A80EF3" w:rsidP="005F3A94">
            <w:pPr>
              <w:ind w:firstLine="0"/>
            </w:pPr>
            <w:r>
              <w:t># Sites</w:t>
            </w:r>
          </w:p>
        </w:tc>
        <w:tc>
          <w:tcPr>
            <w:tcW w:w="810" w:type="dxa"/>
          </w:tcPr>
          <w:p w14:paraId="01C1283E"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47</w:t>
            </w:r>
          </w:p>
        </w:tc>
        <w:tc>
          <w:tcPr>
            <w:tcW w:w="720" w:type="dxa"/>
          </w:tcPr>
          <w:p w14:paraId="6A31713E"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8</w:t>
            </w:r>
          </w:p>
        </w:tc>
        <w:tc>
          <w:tcPr>
            <w:tcW w:w="720" w:type="dxa"/>
          </w:tcPr>
          <w:p w14:paraId="05D24380"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26</w:t>
            </w:r>
          </w:p>
        </w:tc>
        <w:tc>
          <w:tcPr>
            <w:tcW w:w="720" w:type="dxa"/>
          </w:tcPr>
          <w:p w14:paraId="6E744629"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12</w:t>
            </w:r>
          </w:p>
        </w:tc>
        <w:tc>
          <w:tcPr>
            <w:tcW w:w="768" w:type="dxa"/>
          </w:tcPr>
          <w:p w14:paraId="7DB489BA"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7</w:t>
            </w:r>
          </w:p>
        </w:tc>
        <w:tc>
          <w:tcPr>
            <w:tcW w:w="847" w:type="dxa"/>
          </w:tcPr>
          <w:p w14:paraId="1214A813"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39</w:t>
            </w:r>
          </w:p>
        </w:tc>
        <w:tc>
          <w:tcPr>
            <w:tcW w:w="771" w:type="dxa"/>
          </w:tcPr>
          <w:p w14:paraId="3D808BFD"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38</w:t>
            </w:r>
          </w:p>
        </w:tc>
        <w:tc>
          <w:tcPr>
            <w:tcW w:w="763" w:type="dxa"/>
          </w:tcPr>
          <w:p w14:paraId="07872D66"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7</w:t>
            </w:r>
          </w:p>
        </w:tc>
        <w:tc>
          <w:tcPr>
            <w:tcW w:w="706" w:type="dxa"/>
          </w:tcPr>
          <w:p w14:paraId="67E55647" w14:textId="77777777" w:rsidR="00A80EF3" w:rsidRDefault="00A80EF3" w:rsidP="005F3A94">
            <w:pPr>
              <w:ind w:firstLine="0"/>
              <w:cnfStyle w:val="000000000000" w:firstRow="0" w:lastRow="0" w:firstColumn="0" w:lastColumn="0" w:oddVBand="0" w:evenVBand="0" w:oddHBand="0" w:evenHBand="0" w:firstRowFirstColumn="0" w:firstRowLastColumn="0" w:lastRowFirstColumn="0" w:lastRowLastColumn="0"/>
            </w:pPr>
            <w:r>
              <w:t>4</w:t>
            </w:r>
          </w:p>
        </w:tc>
      </w:tr>
    </w:tbl>
    <w:p w14:paraId="00423F91" w14:textId="77777777" w:rsidR="00A80EF3" w:rsidRDefault="00A80EF3" w:rsidP="00A80EF3">
      <w:pPr>
        <w:pStyle w:val="Caption"/>
      </w:pPr>
      <w:r>
        <w:t xml:space="preserve"> </w:t>
      </w:r>
      <w:bookmarkStart w:id="8" w:name="_Ref94813248"/>
      <w:r>
        <w:t xml:space="preserve">Table </w:t>
      </w:r>
      <w:r>
        <w:fldChar w:fldCharType="begin"/>
      </w:r>
      <w:r>
        <w:instrText xml:space="preserve"> SEQ Table \* ARABIC </w:instrText>
      </w:r>
      <w:r>
        <w:fldChar w:fldCharType="separate"/>
      </w:r>
      <w:r>
        <w:t>2</w:t>
      </w:r>
      <w:r>
        <w:fldChar w:fldCharType="end"/>
      </w:r>
      <w:bookmarkEnd w:id="8"/>
      <w:r>
        <w:t>. Summary of percentage of points interpolated for a given pollutant, as well as the total number of sites in the study that measured them.</w:t>
      </w:r>
    </w:p>
    <w:p w14:paraId="088D494A" w14:textId="77777777" w:rsidR="00A80EF3" w:rsidRDefault="00A80EF3" w:rsidP="00A80EF3">
      <w:pPr>
        <w:pStyle w:val="Heading3"/>
      </w:pPr>
      <w:r>
        <w:t>Updated plots of Dynamic Correlation, EVs, and Loading Coefficients</w:t>
      </w:r>
    </w:p>
    <w:p w14:paraId="2F41446C" w14:textId="77777777" w:rsidR="00A80EF3" w:rsidRDefault="00A80EF3" w:rsidP="00A80EF3">
      <w:pPr>
        <w:ind w:firstLine="360"/>
      </w:pPr>
      <w:r>
        <w:t xml:space="preserve">I take the updated data and algorithms and replot the dynamic correlations, EV heatmaps, and loading coefficients to probe new relationships between the pollutant and meteorological variables. </w:t>
      </w:r>
      <w:r>
        <w:fldChar w:fldCharType="begin"/>
      </w:r>
      <w:r>
        <w:instrText xml:space="preserve"> REF _Ref94861658 \h </w:instrText>
      </w:r>
      <w:r>
        <w:fldChar w:fldCharType="separate"/>
      </w:r>
      <w:r>
        <w:t xml:space="preserve">Figure </w:t>
      </w:r>
      <w:r>
        <w:rPr>
          <w:noProof/>
        </w:rPr>
        <w:t>3</w:t>
      </w:r>
      <w:r>
        <w:fldChar w:fldCharType="end"/>
      </w:r>
      <w:r>
        <w:t xml:space="preserve"> shows the dynamic correlations between all sets of variables used in the updated study. </w:t>
      </w:r>
      <w:r>
        <w:fldChar w:fldCharType="begin"/>
      </w:r>
      <w:r>
        <w:instrText xml:space="preserve"> REF _Ref95127556 \h </w:instrText>
      </w:r>
      <w:r>
        <w:fldChar w:fldCharType="separate"/>
      </w:r>
      <w:r>
        <w:t xml:space="preserve">Figure </w:t>
      </w:r>
      <w:r>
        <w:rPr>
          <w:noProof/>
        </w:rPr>
        <w:t>4</w:t>
      </w:r>
      <w:r>
        <w:fldChar w:fldCharType="end"/>
      </w:r>
      <w:r>
        <w:t xml:space="preserve"> shows the updated heat maps. </w:t>
      </w:r>
      <w:r>
        <w:fldChar w:fldCharType="begin"/>
      </w:r>
      <w:r>
        <w:instrText xml:space="preserve"> REF _Ref95135959 \h </w:instrText>
      </w:r>
      <w:r>
        <w:fldChar w:fldCharType="separate"/>
      </w:r>
      <w:r>
        <w:t xml:space="preserve">Figure </w:t>
      </w:r>
      <w:r>
        <w:rPr>
          <w:noProof/>
        </w:rPr>
        <w:t>5</w:t>
      </w:r>
      <w:r>
        <w:fldChar w:fldCharType="end"/>
      </w:r>
      <w:r>
        <w:t xml:space="preserve"> shows the dynamic loading coefficients plotted for the 7 AM hour in Houston, chosen due to the high values of EV in the first component.  </w:t>
      </w:r>
    </w:p>
    <w:p w14:paraId="75EAAF59" w14:textId="77777777" w:rsidR="00A80EF3" w:rsidRDefault="00A80EF3" w:rsidP="00A80EF3"/>
    <w:p w14:paraId="4755EF44" w14:textId="77777777" w:rsidR="00A80EF3" w:rsidRDefault="00A80EF3" w:rsidP="00A80EF3">
      <w:pPr>
        <w:ind w:firstLine="0"/>
      </w:pPr>
      <w:r w:rsidRPr="001B1DB4">
        <w:rPr>
          <w:noProof/>
        </w:rPr>
        <w:lastRenderedPageBreak/>
        <w:drawing>
          <wp:inline distT="0" distB="0" distL="0" distR="0" wp14:anchorId="1145A30D" wp14:editId="378CEB5C">
            <wp:extent cx="5486400" cy="3600450"/>
            <wp:effectExtent l="0" t="0" r="0" b="0"/>
            <wp:docPr id="10" name="Picture 10" descr="A picture containing text,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building&#10;&#10;Description automatically generated"/>
                    <pic:cNvPicPr/>
                  </pic:nvPicPr>
                  <pic:blipFill>
                    <a:blip r:embed="rId9"/>
                    <a:stretch>
                      <a:fillRect/>
                    </a:stretch>
                  </pic:blipFill>
                  <pic:spPr>
                    <a:xfrm>
                      <a:off x="0" y="0"/>
                      <a:ext cx="5486400" cy="3600450"/>
                    </a:xfrm>
                    <a:prstGeom prst="rect">
                      <a:avLst/>
                    </a:prstGeom>
                  </pic:spPr>
                </pic:pic>
              </a:graphicData>
            </a:graphic>
          </wp:inline>
        </w:drawing>
      </w:r>
    </w:p>
    <w:p w14:paraId="46C8E496" w14:textId="77777777" w:rsidR="00A80EF3" w:rsidRDefault="00A80EF3" w:rsidP="00A80EF3">
      <w:pPr>
        <w:pStyle w:val="Caption"/>
      </w:pPr>
      <w:bookmarkStart w:id="9" w:name="_Ref94861658"/>
      <w:r>
        <w:t xml:space="preserve">Figure </w:t>
      </w:r>
      <w:r>
        <w:fldChar w:fldCharType="begin"/>
      </w:r>
      <w:r>
        <w:instrText xml:space="preserve"> SEQ Figure \* ARABIC </w:instrText>
      </w:r>
      <w:r>
        <w:fldChar w:fldCharType="separate"/>
      </w:r>
      <w:r>
        <w:t>3</w:t>
      </w:r>
      <w:r>
        <w:fldChar w:fldCharType="end"/>
      </w:r>
      <w:bookmarkEnd w:id="9"/>
      <w:r>
        <w:t>. All time-varying correlations between the variables exhibited for the 4AM hour during the study period. Orange color denotes a negative correlation; blue color denotes a positive correlation. The time-varying correlations justify the use of DPCA.</w:t>
      </w:r>
    </w:p>
    <w:p w14:paraId="23F62303" w14:textId="77777777" w:rsidR="00A80EF3" w:rsidRDefault="00A80EF3" w:rsidP="00A80EF3">
      <w:pPr>
        <w:ind w:firstLine="360"/>
      </w:pPr>
      <w:r>
        <w:t xml:space="preserve">In </w:t>
      </w:r>
      <w:r>
        <w:fldChar w:fldCharType="begin"/>
      </w:r>
      <w:r>
        <w:instrText xml:space="preserve"> REF _Ref94861658 \h </w:instrText>
      </w:r>
      <w:r>
        <w:fldChar w:fldCharType="separate"/>
      </w:r>
      <w:r>
        <w:t xml:space="preserve">Figure </w:t>
      </w:r>
      <w:r>
        <w:rPr>
          <w:noProof/>
        </w:rPr>
        <w:t>3</w:t>
      </w:r>
      <w:r>
        <w:fldChar w:fldCharType="end"/>
      </w:r>
      <w:r>
        <w:t xml:space="preserve">, we note the existence of strong relationships between </w:t>
      </w:r>
      <m:oMath>
        <m:sSubSup>
          <m:sSubSupPr>
            <m:ctrlPr>
              <w:rPr>
                <w:rFonts w:ascii="Cambria Math" w:hAnsi="Cambria Math"/>
              </w:rPr>
            </m:ctrlPr>
          </m:sSubSupPr>
          <m:e>
            <m:r>
              <m:rPr>
                <m:nor/>
              </m:rPr>
              <w:rPr>
                <w:rFonts w:ascii="Cambria Math" w:hAnsi="Cambria Math"/>
              </w:rPr>
              <m:t>O</m:t>
            </m:r>
          </m:e>
          <m:sub>
            <m:r>
              <m:rPr>
                <m:sty m:val="p"/>
              </m:rPr>
              <w:rPr>
                <w:rFonts w:ascii="Cambria Math" w:hAnsi="Cambria Math"/>
              </w:rPr>
              <m:t>3</m:t>
            </m:r>
          </m:sub>
          <m:sup>
            <m:r>
              <m:rPr>
                <m:sty m:val="p"/>
              </m:rPr>
              <w:rPr>
                <w:rFonts w:ascii="Cambria Math" w:hAnsi="Cambria Math"/>
              </w:rPr>
              <m:t>*</m:t>
            </m:r>
          </m:sup>
        </m:sSubSup>
      </m:oMath>
      <w:r>
        <w:t xml:space="preserve"> (</w:t>
      </w:r>
      <w:proofErr w:type="gramStart"/>
      <w:r>
        <w:t>i.e.</w:t>
      </w:r>
      <w:proofErr w:type="gramEnd"/>
      <w:r>
        <w:t xml:space="preserve"> normalized and standardized </w:t>
      </w:r>
      <m:oMath>
        <m:sSub>
          <m:sSubPr>
            <m:ctrlPr>
              <w:rPr>
                <w:rFonts w:ascii="Cambria Math" w:hAnsi="Cambria Math"/>
              </w:rPr>
            </m:ctrlPr>
          </m:sSubPr>
          <m:e>
            <m:r>
              <m:rPr>
                <m:nor/>
              </m:rPr>
              <w:rPr>
                <w:rFonts w:ascii="Cambria Math" w:hAnsi="Cambria Math"/>
              </w:rPr>
              <m:t>O</m:t>
            </m:r>
          </m:e>
          <m:sub>
            <m:r>
              <m:rPr>
                <m:sty m:val="p"/>
              </m:rPr>
              <w:rPr>
                <w:rFonts w:ascii="Cambria Math" w:hAnsi="Cambria Math"/>
              </w:rPr>
              <m:t>3</m:t>
            </m:r>
          </m:sub>
        </m:sSub>
      </m:oMath>
      <w:r>
        <w:t xml:space="preserve">), </w:t>
      </w:r>
      <m:oMath>
        <m:sSup>
          <m:sSupPr>
            <m:ctrlPr>
              <w:rPr>
                <w:rFonts w:ascii="Cambria Math" w:hAnsi="Cambria Math"/>
              </w:rPr>
            </m:ctrlPr>
          </m:sSupPr>
          <m:e>
            <m:r>
              <m:rPr>
                <m:nor/>
              </m:rPr>
              <w:rPr>
                <w:rFonts w:ascii="Cambria Math" w:hAnsi="Cambria Math"/>
              </w:rPr>
              <m:t>CO</m:t>
            </m:r>
          </m:e>
          <m:sup>
            <m:r>
              <m:rPr>
                <m:sty m:val="p"/>
              </m:rPr>
              <w:rPr>
                <w:rFonts w:ascii="Cambria Math" w:hAnsi="Cambria Math"/>
              </w:rPr>
              <m:t>*</m:t>
            </m:r>
          </m:sup>
        </m:sSup>
      </m:oMath>
      <w:r>
        <w:t xml:space="preserve"> and </w:t>
      </w:r>
      <m:oMath>
        <m:sSubSup>
          <m:sSubSupPr>
            <m:ctrlPr>
              <w:rPr>
                <w:rFonts w:ascii="Cambria Math" w:hAnsi="Cambria Math"/>
              </w:rPr>
            </m:ctrlPr>
          </m:sSubSupPr>
          <m:e>
            <m:r>
              <m:rPr>
                <m:nor/>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oMath>
      <w:r>
        <w:rPr>
          <w:rFonts w:eastAsiaTheme="minorEastAsia"/>
        </w:rPr>
        <w:t xml:space="preserve">, consistent with the titration of </w:t>
      </w:r>
      <m:oMath>
        <m:sSubSup>
          <m:sSubSupPr>
            <m:ctrlPr>
              <w:rPr>
                <w:rFonts w:ascii="Cambria Math" w:hAnsi="Cambria Math"/>
              </w:rPr>
            </m:ctrlPr>
          </m:sSubSupPr>
          <m:e>
            <m:r>
              <m:rPr>
                <m:nor/>
              </m:rPr>
              <w:rPr>
                <w:rFonts w:ascii="Cambria Math" w:hAnsi="Cambria Math"/>
              </w:rPr>
              <m:t>O</m:t>
            </m:r>
          </m:e>
          <m:sub>
            <m:r>
              <m:rPr>
                <m:sty m:val="p"/>
              </m:rPr>
              <w:rPr>
                <w:rFonts w:ascii="Cambria Math" w:hAnsi="Cambria Math"/>
              </w:rPr>
              <m:t>3</m:t>
            </m:r>
          </m:sub>
          <m:sup>
            <m:r>
              <m:rPr>
                <m:sty m:val="p"/>
              </m:rPr>
              <w:rPr>
                <w:rFonts w:ascii="Cambria Math" w:hAnsi="Cambria Math"/>
              </w:rPr>
              <m:t>*</m:t>
            </m:r>
          </m:sup>
        </m:sSubSup>
      </m:oMath>
      <w:r>
        <w:rPr>
          <w:rFonts w:eastAsiaTheme="minorEastAsia"/>
        </w:rPr>
        <w:t xml:space="preserve">  in traffic-related emissions</w:t>
      </w:r>
      <w:r>
        <w:t xml:space="preserve">. Both </w:t>
      </w:r>
      <m:oMath>
        <m:sSup>
          <m:sSupPr>
            <m:ctrlPr>
              <w:rPr>
                <w:rFonts w:ascii="Cambria Math" w:hAnsi="Cambria Math"/>
              </w:rPr>
            </m:ctrlPr>
          </m:sSupPr>
          <m:e>
            <m:r>
              <m:rPr>
                <m:nor/>
              </m:rPr>
              <w:rPr>
                <w:rFonts w:ascii="Cambria Math" w:hAnsi="Cambria Math"/>
              </w:rPr>
              <m:t>CO</m:t>
            </m:r>
          </m:e>
          <m:sup>
            <m:r>
              <m:rPr>
                <m:sty m:val="p"/>
              </m:rPr>
              <w:rPr>
                <w:rFonts w:ascii="Cambria Math" w:hAnsi="Cambria Math"/>
              </w:rPr>
              <m:t>*</m:t>
            </m:r>
          </m:sup>
        </m:sSup>
      </m:oMath>
      <w:r>
        <w:t xml:space="preserve"> and </w:t>
      </w:r>
      <m:oMath>
        <m:sSubSup>
          <m:sSubSupPr>
            <m:ctrlPr>
              <w:rPr>
                <w:rFonts w:ascii="Cambria Math" w:hAnsi="Cambria Math"/>
              </w:rPr>
            </m:ctrlPr>
          </m:sSubSupPr>
          <m:e>
            <m:r>
              <m:rPr>
                <m:nor/>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oMath>
      <w:r>
        <w:t xml:space="preserve"> exhibit strong anticorrelations with </w:t>
      </w:r>
      <m:oMath>
        <m:sSup>
          <m:sSupPr>
            <m:ctrlPr>
              <w:rPr>
                <w:rFonts w:ascii="Cambria Math" w:hAnsi="Cambria Math"/>
              </w:rPr>
            </m:ctrlPr>
          </m:sSupPr>
          <m:e>
            <m:r>
              <m:rPr>
                <m:nor/>
              </m:rPr>
              <w:rPr>
                <w:rFonts w:ascii="Cambria Math" w:hAnsi="Cambria Math"/>
              </w:rPr>
              <m:t>WS</m:t>
            </m:r>
          </m:e>
          <m:sup>
            <m:r>
              <m:rPr>
                <m:sty m:val="p"/>
              </m:rPr>
              <w:rPr>
                <w:rFonts w:ascii="Cambria Math" w:hAnsi="Cambria Math"/>
              </w:rPr>
              <m:t>*</m:t>
            </m:r>
          </m:sup>
        </m:sSup>
      </m:oMath>
      <w:r>
        <w:t xml:space="preserve">, consistent with higher values of wind speed diluting these </w:t>
      </w:r>
      <w:proofErr w:type="gramStart"/>
      <w:r>
        <w:t>particular traffic</w:t>
      </w:r>
      <w:proofErr w:type="gramEnd"/>
      <w:r>
        <w:t xml:space="preserve"> related pollutants. There are also seasonal patterns apparent in certain correlations between variables. </w:t>
      </w:r>
      <m:oMath>
        <m:sSup>
          <m:sSupPr>
            <m:ctrlPr>
              <w:rPr>
                <w:rFonts w:ascii="Cambria Math" w:hAnsi="Cambria Math"/>
              </w:rPr>
            </m:ctrlPr>
          </m:sSupPr>
          <m:e>
            <m:r>
              <m:rPr>
                <m:nor/>
              </m:rPr>
              <w:rPr>
                <w:rFonts w:ascii="Cambria Math" w:hAnsi="Cambria Math"/>
              </w:rPr>
              <m:t>CO</m:t>
            </m:r>
          </m:e>
          <m:sup>
            <m:r>
              <m:rPr>
                <m:sty m:val="p"/>
              </m:rPr>
              <w:rPr>
                <w:rFonts w:ascii="Cambria Math" w:hAnsi="Cambria Math"/>
              </w:rPr>
              <m:t>*</m:t>
            </m:r>
          </m:sup>
        </m:sSup>
      </m:oMath>
      <w:r>
        <w:t xml:space="preserve"> and </w:t>
      </w:r>
      <m:oMath>
        <m:sSubSup>
          <m:sSubSupPr>
            <m:ctrlPr>
              <w:rPr>
                <w:rFonts w:ascii="Cambria Math" w:hAnsi="Cambria Math"/>
              </w:rPr>
            </m:ctrlPr>
          </m:sSubSupPr>
          <m:e>
            <m:r>
              <m:rPr>
                <m:nor/>
              </m:rPr>
              <w:rPr>
                <w:rFonts w:ascii="Cambria Math" w:hAnsi="Cambria Math"/>
              </w:rPr>
              <m:t>O</m:t>
            </m:r>
          </m:e>
          <m:sub>
            <m:r>
              <m:rPr>
                <m:sty m:val="p"/>
              </m:rPr>
              <w:rPr>
                <w:rFonts w:ascii="Cambria Math" w:hAnsi="Cambria Math"/>
              </w:rPr>
              <m:t>3</m:t>
            </m:r>
          </m:sub>
          <m:sup>
            <m:r>
              <m:rPr>
                <m:sty m:val="p"/>
              </m:rPr>
              <w:rPr>
                <w:rFonts w:ascii="Cambria Math" w:hAnsi="Cambria Math"/>
              </w:rPr>
              <m:t>*</m:t>
            </m:r>
          </m:sup>
        </m:sSubSup>
      </m:oMath>
      <w:r>
        <w:t xml:space="preserve"> are more negatively correlated in winter than in summer. Correlations between </w:t>
      </w:r>
      <m:oMath>
        <m:sSup>
          <m:sSupPr>
            <m:ctrlPr>
              <w:rPr>
                <w:rFonts w:ascii="Cambria Math" w:hAnsi="Cambria Math"/>
              </w:rPr>
            </m:ctrlPr>
          </m:sSupPr>
          <m:e>
            <m:r>
              <m:rPr>
                <m:nor/>
              </m:rPr>
              <w:rPr>
                <w:rFonts w:ascii="Cambria Math" w:hAnsi="Cambria Math"/>
              </w:rPr>
              <m:t>RH</m:t>
            </m:r>
          </m:e>
          <m:sup>
            <m:r>
              <m:rPr>
                <m:sty m:val="p"/>
              </m:rPr>
              <w:rPr>
                <w:rFonts w:ascii="Cambria Math" w:hAnsi="Cambria Math"/>
              </w:rPr>
              <m:t>*</m:t>
            </m:r>
          </m:sup>
        </m:sSup>
      </m:oMath>
      <w:r>
        <w:t xml:space="preserve"> and </w:t>
      </w:r>
      <m:oMath>
        <m:sSup>
          <m:sSupPr>
            <m:ctrlPr>
              <w:rPr>
                <w:rFonts w:ascii="Cambria Math" w:hAnsi="Cambria Math"/>
              </w:rPr>
            </m:ctrlPr>
          </m:sSupPr>
          <m:e>
            <m:r>
              <m:rPr>
                <m:nor/>
              </m:rPr>
              <w:rPr>
                <w:rFonts w:ascii="Cambria Math" w:hAnsi="Cambria Math"/>
              </w:rPr>
              <m:t>Temp</m:t>
            </m:r>
          </m:e>
          <m:sup>
            <m:r>
              <m:rPr>
                <m:sty m:val="p"/>
              </m:rPr>
              <w:rPr>
                <w:rFonts w:ascii="Cambria Math" w:hAnsi="Cambria Math"/>
              </w:rPr>
              <m:t>*</m:t>
            </m:r>
          </m:sup>
        </m:sSup>
      </m:oMath>
      <w:r>
        <w:t xml:space="preserve">  switch between being positive and being negative throughout the year. These plots establish how correlations between the sets </w:t>
      </w:r>
      <w:r>
        <w:lastRenderedPageBreak/>
        <w:t>of variables presented are time sensitive and serve to further justify the use of DPCA as previously established in Melnikov.</w:t>
      </w:r>
      <w:r>
        <w:fldChar w:fldCharType="begin"/>
      </w:r>
      <w:r>
        <w:instrText xml:space="preserve"> ADDIN ZOTERO_ITEM CSL_CITATION {"citationID":"9K2bk4J3","properties":{"formattedCitation":"\\super 27\\nosupersub{}","plainCitation":"27","noteIndex":0},"citationItems":[{"id":18,"uris":["http://zotero.org/users/4282478/items/2MH35R2R"],"uri":["http://zotero.org/users/4282478/items/2MH35R2R"],"itemData":{"id":18,"type":"article-journal","abstract":"The dynamic nature of air quality chemistry and transport makes it difficult to identify the mixture of air pollutants for a region. In this study of air quality in the Houston metropolitan area we apply dynamic principal component analysis (DPCA) to a normalized multivariate time series of daily concentration measurements of five pollutants (O3, CO, NO2, SO2, PM2.5) from January 1, 2009 through December 31, 2011 for each of the 24 hours in a day. The resulting dynamic components are examined by hour across days for the 3 year period. Diurnal and seasonal patterns are revealed underlining times when DPCA performs best and two principal components (PCs) explain most variability in the multivariate series. DPCA is shown to be superior to static principal component analysis (PCA) in discovery of linear relations among transformed pollutant measurements. DPCA captures the time-dependent correlation structure of the underlying pollutants recorded at up to 34 monitoring sites in the region. In winter mornings the first principal component (PC1) (mainly CO and NO2) explains up to 70% of variability. Augmenting with the second principal component (PC2) (mainly driven by SO2) the explained variability rises to 90%. In the afternoon, O3 gains prominence in the second principal component. The seasonal profile of PCs' contribution to variance loses its distinction in the afternoon, yet cumulatively PC1 and PC2 still explain up to 65% of variability in ambient air data. DPCA provides a strategy for identifying the changing air quality profile for the region studied.","container-title":"arXiv:1608.03022 [stat]","note":"arXiv: 1608.03022","source":"arXiv.org","title":"Dynamic Principal Component Analysis: Identifying the Relationship between Multiple Air Pollutants","title-short":"Dynamic Principal Component Analysis","URL":"http://arxiv.org/abs/1608.03022","author":[{"family":"Melnikov","given":"Oleg"},{"family":"Raun","given":"Loren H."},{"family":"Ensor","given":"Katherine B."}],"accessed":{"date-parts":[["2021",10,6]]},"issued":{"date-parts":[["2016",8,9]]}}}],"schema":"https://github.com/citation-style-language/schema/raw/master/csl-citation.json"} </w:instrText>
      </w:r>
      <w:r>
        <w:fldChar w:fldCharType="separate"/>
      </w:r>
      <w:r w:rsidRPr="00162789">
        <w:rPr>
          <w:rFonts w:ascii="Cambria" w:hAnsi="Cambria" w:cs="Times New Roman"/>
          <w:szCs w:val="24"/>
          <w:vertAlign w:val="superscript"/>
        </w:rPr>
        <w:t>27</w:t>
      </w:r>
      <w:r>
        <w:fldChar w:fldCharType="end"/>
      </w:r>
      <w:r>
        <w:t xml:space="preserve"> </w:t>
      </w:r>
    </w:p>
    <w:p w14:paraId="34A9FFBC" w14:textId="77777777" w:rsidR="00A80EF3" w:rsidRDefault="00A80EF3" w:rsidP="00A80EF3">
      <w:pPr>
        <w:ind w:firstLine="360"/>
      </w:pPr>
      <w:r>
        <w:t xml:space="preserve">Figure 4 displays the gridded heatmaps updated from Melnikov et al. The heatmaps display similar temporal patterns previously discussed in Melnikov, with a notable exception. The EV of the first dynamic component exhibits apparent diurnal and seasonal patterns, peaking at 7 AM, receding into the late afternoon hours, and going up in earnest starting at 6 PM. The seasonal pattern is similar to what was previously shown in Melnikov, with contributions of the component increasing in </w:t>
      </w:r>
      <w:proofErr w:type="gramStart"/>
      <w:r>
        <w:t>winter time</w:t>
      </w:r>
      <w:proofErr w:type="gramEnd"/>
      <w:r>
        <w:t xml:space="preserve"> and decreasing in summer time. The EV of the second component serves to mostly complement the EV of the first complement, apart from notable episodic bursts. One such burst (the burst with highest value of EV in the 2</w:t>
      </w:r>
      <w:r w:rsidRPr="00D6285C">
        <w:rPr>
          <w:vertAlign w:val="superscript"/>
        </w:rPr>
        <w:t>nd</w:t>
      </w:r>
      <w:r>
        <w:t xml:space="preserve"> component) is denoted by black lines in </w:t>
      </w:r>
      <w:r>
        <w:fldChar w:fldCharType="begin"/>
      </w:r>
      <w:r>
        <w:instrText xml:space="preserve"> REF _Ref95127556 \h </w:instrText>
      </w:r>
      <w:r>
        <w:fldChar w:fldCharType="separate"/>
      </w:r>
      <w:r>
        <w:t xml:space="preserve">Figure </w:t>
      </w:r>
      <w:r>
        <w:rPr>
          <w:noProof/>
        </w:rPr>
        <w:t>4</w:t>
      </w:r>
      <w:r>
        <w:fldChar w:fldCharType="end"/>
      </w:r>
      <w:r>
        <w:t xml:space="preserve"> and </w:t>
      </w:r>
      <w:proofErr w:type="gramStart"/>
      <w:r>
        <w:t xml:space="preserve">  ,with</w:t>
      </w:r>
      <w:proofErr w:type="gramEnd"/>
      <w:r>
        <w:t xml:space="preserve"> the same time period highlighted with red lines in </w:t>
      </w:r>
      <w:r>
        <w:fldChar w:fldCharType="begin"/>
      </w:r>
      <w:r>
        <w:instrText xml:space="preserve"> REF _Ref94861658 \h </w:instrText>
      </w:r>
      <w:r>
        <w:fldChar w:fldCharType="separate"/>
      </w:r>
      <w:r>
        <w:t xml:space="preserve">Figure </w:t>
      </w:r>
      <w:r>
        <w:rPr>
          <w:noProof/>
        </w:rPr>
        <w:t>3</w:t>
      </w:r>
      <w:r>
        <w:fldChar w:fldCharType="end"/>
      </w:r>
      <w:r>
        <w:t xml:space="preserve">. Possible interpretations are discussed in </w:t>
      </w:r>
    </w:p>
    <w:p w14:paraId="78C49A5F" w14:textId="77777777" w:rsidR="00A80EF3" w:rsidRDefault="00A80EF3" w:rsidP="00A80EF3">
      <w:pPr>
        <w:ind w:firstLine="360"/>
      </w:pPr>
      <w:r>
        <w:fldChar w:fldCharType="begin"/>
      </w:r>
      <w:r>
        <w:instrText xml:space="preserve"> REF _Ref95135959 \h </w:instrText>
      </w:r>
      <w:r>
        <w:fldChar w:fldCharType="separate"/>
      </w:r>
      <w:r>
        <w:t xml:space="preserve">Figure </w:t>
      </w:r>
      <w:r>
        <w:rPr>
          <w:noProof/>
        </w:rPr>
        <w:t>5</w:t>
      </w:r>
      <w:r>
        <w:fldChar w:fldCharType="end"/>
      </w:r>
      <w:r>
        <w:t xml:space="preserve"> shows the dynamic loading coefficients for the first 3 components, separated by normalized pollutant for the 7 AM hour. The loading coefficients were smoothed with a 45-d window </w:t>
      </w:r>
      <w:proofErr w:type="gramStart"/>
      <w:r>
        <w:t>similar to</w:t>
      </w:r>
      <w:proofErr w:type="gramEnd"/>
      <w:r>
        <w:t xml:space="preserve"> Melnikov. Loadings in the first component show consistent positive contributions from </w:t>
      </w:r>
      <m:oMath>
        <m:sSubSup>
          <m:sSubSupPr>
            <m:ctrlPr>
              <w:rPr>
                <w:rFonts w:ascii="Cambria Math" w:hAnsi="Cambria Math"/>
                <w:i/>
              </w:rPr>
            </m:ctrlPr>
          </m:sSubSupPr>
          <m:e>
            <m:r>
              <m:rPr>
                <m:nor/>
              </m:rPr>
              <w:rPr>
                <w:rFonts w:ascii="Cambria Math" w:hAnsi="Cambria Math"/>
              </w:rPr>
              <m:t>O</m:t>
            </m:r>
            <m:ctrlPr>
              <w:rPr>
                <w:rFonts w:ascii="Cambria Math" w:hAnsi="Cambria Math"/>
              </w:rPr>
            </m:ctrlPr>
          </m:e>
          <m:sub>
            <m:r>
              <w:rPr>
                <w:rFonts w:ascii="Cambria Math" w:hAnsi="Cambria Math"/>
              </w:rPr>
              <m:t>3</m:t>
            </m:r>
          </m:sub>
          <m:sup>
            <m:r>
              <w:rPr>
                <w:rFonts w:ascii="Cambria Math" w:hAnsi="Cambria Math"/>
              </w:rPr>
              <m:t>*</m:t>
            </m:r>
          </m:sup>
        </m:sSubSup>
      </m:oMath>
      <w:r>
        <w:rPr>
          <w:rFonts w:eastAsiaTheme="minorEastAsia"/>
        </w:rPr>
        <w:t xml:space="preserve">, </w:t>
      </w:r>
      <m:oMath>
        <m:sSup>
          <m:sSupPr>
            <m:ctrlPr>
              <w:rPr>
                <w:rFonts w:ascii="Cambria Math" w:eastAsiaTheme="minorEastAsia" w:hAnsi="Cambria Math"/>
                <w:i/>
              </w:rPr>
            </m:ctrlPr>
          </m:sSupPr>
          <m:e>
            <m:r>
              <m:rPr>
                <m:nor/>
              </m:rPr>
              <w:rPr>
                <w:rFonts w:ascii="Cambria Math" w:eastAsiaTheme="minorEastAsia" w:hAnsi="Cambria Math"/>
              </w:rPr>
              <m:t>CO</m:t>
            </m:r>
            <m:ctrlPr>
              <w:rPr>
                <w:rFonts w:ascii="Cambria Math" w:eastAsiaTheme="minorEastAsia" w:hAnsi="Cambria Math"/>
              </w:rPr>
            </m:ctrlPr>
          </m:e>
          <m:sup>
            <m:r>
              <w:rPr>
                <w:rFonts w:ascii="Cambria Math" w:eastAsiaTheme="minorEastAsia" w:hAnsi="Cambria Math"/>
              </w:rPr>
              <m:t>*</m:t>
            </m:r>
          </m:sup>
        </m:sSup>
      </m:oMath>
      <w:r>
        <w:rPr>
          <w:rFonts w:eastAsiaTheme="minorEastAsia"/>
        </w:rPr>
        <w:t xml:space="preserve">, and </w:t>
      </w:r>
      <m:oMath>
        <m:sSubSup>
          <m:sSubSupPr>
            <m:ctrlPr>
              <w:rPr>
                <w:rFonts w:ascii="Cambria Math" w:eastAsiaTheme="minorEastAsia" w:hAnsi="Cambria Math"/>
                <w:i/>
              </w:rPr>
            </m:ctrlPr>
          </m:sSubSupPr>
          <m:e>
            <m:r>
              <m:rPr>
                <m:nor/>
              </m:rPr>
              <w:rPr>
                <w:rFonts w:ascii="Cambria Math" w:eastAsiaTheme="minorEastAsia" w:hAnsi="Cambria Math"/>
              </w:rPr>
              <m:t>NO</m:t>
            </m:r>
            <m:ctrlPr>
              <w:rPr>
                <w:rFonts w:ascii="Cambria Math" w:eastAsiaTheme="minorEastAsia" w:hAnsi="Cambria Math"/>
              </w:rPr>
            </m:ctrlP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xml:space="preserve"> and a consistent negative contribution from </w:t>
      </w:r>
      <m:oMath>
        <m:sSup>
          <m:sSupPr>
            <m:ctrlPr>
              <w:rPr>
                <w:rFonts w:ascii="Cambria Math" w:eastAsiaTheme="minorEastAsia" w:hAnsi="Cambria Math"/>
                <w:i/>
              </w:rPr>
            </m:ctrlPr>
          </m:sSupPr>
          <m:e>
            <m:r>
              <m:rPr>
                <m:nor/>
              </m:rPr>
              <w:rPr>
                <w:rFonts w:ascii="Cambria Math" w:eastAsiaTheme="minorEastAsia" w:hAnsi="Cambria Math"/>
              </w:rPr>
              <m:t>WS</m:t>
            </m:r>
            <m:ctrlPr>
              <w:rPr>
                <w:rFonts w:ascii="Cambria Math" w:eastAsiaTheme="minorEastAsia" w:hAnsi="Cambria Math"/>
              </w:rPr>
            </m:ctrlPr>
          </m:e>
          <m:sup>
            <m:r>
              <w:rPr>
                <w:rFonts w:ascii="Cambria Math" w:eastAsiaTheme="minorEastAsia" w:hAnsi="Cambria Math"/>
              </w:rPr>
              <m:t>*</m:t>
            </m:r>
          </m:sup>
        </m:sSup>
      </m:oMath>
      <w:r>
        <w:rPr>
          <w:rFonts w:eastAsiaTheme="minorEastAsia"/>
        </w:rPr>
        <w:t xml:space="preserve">. Loadings in the second component are influenced by </w:t>
      </w:r>
      <m:oMath>
        <m:sSub>
          <m:sSubPr>
            <m:ctrlPr>
              <w:rPr>
                <w:rFonts w:ascii="Cambria Math" w:eastAsiaTheme="minorEastAsia" w:hAnsi="Cambria Math"/>
                <w:i/>
              </w:rPr>
            </m:ctrlPr>
          </m:sSubPr>
          <m:e>
            <m:r>
              <m:rPr>
                <m:nor/>
              </m:rPr>
              <w:rPr>
                <w:rFonts w:ascii="Cambria Math" w:eastAsiaTheme="minorEastAsia" w:hAnsi="Cambria Math"/>
              </w:rPr>
              <m:t>SO</m:t>
            </m:r>
            <m:ctrlPr>
              <w:rPr>
                <w:rFonts w:ascii="Cambria Math" w:eastAsiaTheme="minorEastAsia" w:hAnsi="Cambria Math"/>
              </w:rPr>
            </m:ctrlPr>
          </m:e>
          <m:sub>
            <m:r>
              <w:rPr>
                <w:rFonts w:ascii="Cambria Math" w:eastAsiaTheme="minorEastAsia" w:hAnsi="Cambria Math"/>
              </w:rPr>
              <m:t>2</m:t>
            </m:r>
          </m:sub>
        </m:sSub>
      </m:oMath>
      <w:r>
        <w:rPr>
          <w:rFonts w:eastAsiaTheme="minorEastAsia"/>
        </w:rPr>
        <w:t xml:space="preserve">, </w:t>
      </w:r>
      <m:oMath>
        <m:sSup>
          <m:sSupPr>
            <m:ctrlPr>
              <w:rPr>
                <w:rFonts w:ascii="Cambria Math" w:eastAsiaTheme="minorEastAsia" w:hAnsi="Cambria Math"/>
                <w:i/>
              </w:rPr>
            </m:ctrlPr>
          </m:sSupPr>
          <m:e>
            <m:r>
              <m:rPr>
                <m:nor/>
              </m:rPr>
              <w:rPr>
                <w:rFonts w:ascii="Cambria Math" w:eastAsiaTheme="minorEastAsia" w:hAnsi="Cambria Math"/>
              </w:rPr>
              <m:t>Temp</m:t>
            </m:r>
            <m:ctrlPr>
              <w:rPr>
                <w:rFonts w:ascii="Cambria Math" w:eastAsiaTheme="minorEastAsia" w:hAnsi="Cambria Math"/>
              </w:rPr>
            </m:ctrlPr>
          </m:e>
          <m:sup>
            <m:r>
              <w:rPr>
                <w:rFonts w:ascii="Cambria Math" w:eastAsiaTheme="minorEastAsia" w:hAnsi="Cambria Math"/>
              </w:rPr>
              <m:t>*</m:t>
            </m:r>
          </m:sup>
        </m:sSup>
      </m:oMath>
      <w:r>
        <w:rPr>
          <w:rFonts w:eastAsiaTheme="minorEastAsia"/>
        </w:rPr>
        <w:t xml:space="preserve">, </w:t>
      </w:r>
      <m:oMath>
        <m:sSup>
          <m:sSupPr>
            <m:ctrlPr>
              <w:rPr>
                <w:rFonts w:ascii="Cambria Math" w:eastAsiaTheme="minorEastAsia" w:hAnsi="Cambria Math"/>
                <w:i/>
              </w:rPr>
            </m:ctrlPr>
          </m:sSupPr>
          <m:e>
            <m:r>
              <m:rPr>
                <m:nor/>
              </m:rPr>
              <w:rPr>
                <w:rFonts w:ascii="Cambria Math" w:eastAsiaTheme="minorEastAsia" w:hAnsi="Cambria Math"/>
              </w:rPr>
              <m:t>RH</m:t>
            </m:r>
            <m:ctrlPr>
              <w:rPr>
                <w:rFonts w:ascii="Cambria Math" w:eastAsiaTheme="minorEastAsia" w:hAnsi="Cambria Math"/>
              </w:rPr>
            </m:ctrlPr>
          </m:e>
          <m:sup>
            <m:r>
              <w:rPr>
                <w:rFonts w:ascii="Cambria Math" w:eastAsiaTheme="minorEastAsia" w:hAnsi="Cambria Math"/>
              </w:rPr>
              <m:t>*</m:t>
            </m:r>
          </m:sup>
        </m:sSup>
      </m:oMath>
      <w:r>
        <w:rPr>
          <w:rFonts w:eastAsiaTheme="minorEastAsia"/>
        </w:rPr>
        <w:t xml:space="preserve">, and </w:t>
      </w:r>
      <m:oMath>
        <m:sSup>
          <m:sSupPr>
            <m:ctrlPr>
              <w:rPr>
                <w:rFonts w:ascii="Cambria Math" w:eastAsiaTheme="minorEastAsia" w:hAnsi="Cambria Math"/>
                <w:i/>
              </w:rPr>
            </m:ctrlPr>
          </m:sSupPr>
          <m:e>
            <m:r>
              <m:rPr>
                <m:nor/>
              </m:rPr>
              <w:rPr>
                <w:rFonts w:ascii="Cambria Math" w:eastAsiaTheme="minorEastAsia" w:hAnsi="Cambria Math"/>
              </w:rPr>
              <m:t>P</m:t>
            </m:r>
            <m:ctrlPr>
              <w:rPr>
                <w:rFonts w:ascii="Cambria Math" w:eastAsiaTheme="minorEastAsia" w:hAnsi="Cambria Math"/>
              </w:rPr>
            </m:ctrlPr>
          </m:e>
          <m:sup>
            <m:r>
              <w:rPr>
                <w:rFonts w:ascii="Cambria Math" w:eastAsiaTheme="minorEastAsia" w:hAnsi="Cambria Math"/>
              </w:rPr>
              <m:t>*</m:t>
            </m:r>
          </m:sup>
        </m:sSup>
      </m:oMath>
      <w:r>
        <w:rPr>
          <w:rFonts w:eastAsiaTheme="minorEastAsia"/>
        </w:rPr>
        <w:t xml:space="preserve">. Further interpretation of these components is given in Section </w:t>
      </w:r>
      <w:r>
        <w:rPr>
          <w:rFonts w:eastAsiaTheme="minorEastAsia"/>
        </w:rPr>
        <w:fldChar w:fldCharType="begin"/>
      </w:r>
      <w:r>
        <w:rPr>
          <w:rFonts w:eastAsiaTheme="minorEastAsia"/>
        </w:rPr>
        <w:instrText xml:space="preserve"> REF _Ref95487279 \r \h </w:instrText>
      </w:r>
      <w:r>
        <w:rPr>
          <w:rFonts w:eastAsiaTheme="minorEastAsia"/>
        </w:rPr>
      </w:r>
      <w:r>
        <w:rPr>
          <w:rFonts w:eastAsiaTheme="minorEastAsia"/>
        </w:rPr>
        <w:fldChar w:fldCharType="separate"/>
      </w:r>
      <w:r>
        <w:rPr>
          <w:rFonts w:eastAsiaTheme="minorEastAsia"/>
        </w:rPr>
        <w:t>2.3.3</w:t>
      </w:r>
      <w:r>
        <w:rPr>
          <w:rFonts w:eastAsiaTheme="minorEastAsia"/>
        </w:rPr>
        <w:fldChar w:fldCharType="end"/>
      </w:r>
      <w:r>
        <w:rPr>
          <w:rFonts w:eastAsiaTheme="minorEastAsia"/>
        </w:rPr>
        <w:t>.</w:t>
      </w:r>
    </w:p>
    <w:p w14:paraId="29632EDE" w14:textId="77777777" w:rsidR="00A80EF3" w:rsidRDefault="00A80EF3" w:rsidP="00A80EF3">
      <w:pPr>
        <w:ind w:firstLine="360"/>
      </w:pPr>
    </w:p>
    <w:p w14:paraId="5D09B3F8" w14:textId="77777777" w:rsidR="00A80EF3" w:rsidRDefault="00A80EF3" w:rsidP="00A80EF3">
      <w:pPr>
        <w:ind w:firstLine="360"/>
      </w:pPr>
    </w:p>
    <w:p w14:paraId="584A0935" w14:textId="77777777" w:rsidR="00A80EF3" w:rsidRDefault="00A80EF3" w:rsidP="00A80EF3">
      <w:pPr>
        <w:pStyle w:val="Caption"/>
      </w:pPr>
      <w:bookmarkStart w:id="10" w:name="_Ref95127556"/>
      <w:r w:rsidRPr="00DB52B7">
        <w:lastRenderedPageBreak/>
        <w:drawing>
          <wp:anchor distT="0" distB="0" distL="114300" distR="114300" simplePos="0" relativeHeight="251665408" behindDoc="0" locked="0" layoutInCell="1" allowOverlap="1" wp14:anchorId="342E06C2" wp14:editId="64C60E40">
            <wp:simplePos x="0" y="0"/>
            <wp:positionH relativeFrom="margin">
              <wp:align>right</wp:align>
            </wp:positionH>
            <wp:positionV relativeFrom="paragraph">
              <wp:posOffset>3117850</wp:posOffset>
            </wp:positionV>
            <wp:extent cx="5486400" cy="3597910"/>
            <wp:effectExtent l="0" t="0" r="0" b="2540"/>
            <wp:wrapTopAndBottom/>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86400" cy="3597910"/>
                    </a:xfrm>
                    <a:prstGeom prst="rect">
                      <a:avLst/>
                    </a:prstGeom>
                  </pic:spPr>
                </pic:pic>
              </a:graphicData>
            </a:graphic>
          </wp:anchor>
        </w:drawing>
      </w:r>
      <w:r>
        <w:drawing>
          <wp:anchor distT="0" distB="0" distL="114300" distR="114300" simplePos="0" relativeHeight="251662336" behindDoc="0" locked="0" layoutInCell="1" allowOverlap="1" wp14:anchorId="1D1D9BEC" wp14:editId="13F36B14">
            <wp:simplePos x="0" y="0"/>
            <wp:positionH relativeFrom="margin">
              <wp:align>center</wp:align>
            </wp:positionH>
            <wp:positionV relativeFrom="paragraph">
              <wp:posOffset>0</wp:posOffset>
            </wp:positionV>
            <wp:extent cx="6576060" cy="2353310"/>
            <wp:effectExtent l="0" t="0" r="0" b="8890"/>
            <wp:wrapTopAndBottom/>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a:picLocks noChangeAspect="1" noChangeArrowheads="1"/>
                    </pic:cNvPicPr>
                  </pic:nvPicPr>
                  <pic:blipFill rotWithShape="1">
                    <a:blip r:embed="rId11">
                      <a:extLst>
                        <a:ext uri="{28A0092B-C50C-407E-A947-70E740481C1C}">
                          <a14:useLocalDpi xmlns:a14="http://schemas.microsoft.com/office/drawing/2010/main" val="0"/>
                        </a:ext>
                      </a:extLst>
                    </a:blip>
                    <a:srcRect t="15971" b="20393"/>
                    <a:stretch/>
                  </pic:blipFill>
                  <pic:spPr bwMode="auto">
                    <a:xfrm>
                      <a:off x="0" y="0"/>
                      <a:ext cx="6576060" cy="2353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Figure </w:t>
      </w:r>
      <w:r>
        <w:fldChar w:fldCharType="begin"/>
      </w:r>
      <w:r>
        <w:instrText xml:space="preserve"> SEQ Figure \* ARABIC </w:instrText>
      </w:r>
      <w:r>
        <w:fldChar w:fldCharType="separate"/>
      </w:r>
      <w:r>
        <w:t>4</w:t>
      </w:r>
      <w:r>
        <w:fldChar w:fldCharType="end"/>
      </w:r>
      <w:bookmarkEnd w:id="10"/>
      <w:r>
        <w:t>. Heatmaps of EV for each of the dynamic components. The black lines designate a period of heightened EV in the 2</w:t>
      </w:r>
      <w:r w:rsidRPr="00E34DB7">
        <w:rPr>
          <w:vertAlign w:val="superscript"/>
        </w:rPr>
        <w:t>nd</w:t>
      </w:r>
      <w:r>
        <w:t xml:space="preserve"> component, which is from September 9, 2016 to November 16, 2016. </w:t>
      </w:r>
    </w:p>
    <w:p w14:paraId="2B502779" w14:textId="77777777" w:rsidR="00A80EF3" w:rsidRPr="00EB6EC0" w:rsidRDefault="00A80EF3" w:rsidP="00A80EF3">
      <w:pPr>
        <w:pStyle w:val="Caption"/>
      </w:pPr>
      <w:bookmarkStart w:id="11" w:name="_Ref95135959"/>
      <w:r>
        <w:t xml:space="preserve">Figure </w:t>
      </w:r>
      <w:r>
        <w:fldChar w:fldCharType="begin"/>
      </w:r>
      <w:r>
        <w:instrText xml:space="preserve"> SEQ Figure \* ARABIC </w:instrText>
      </w:r>
      <w:r>
        <w:fldChar w:fldCharType="separate"/>
      </w:r>
      <w:r>
        <w:t>5</w:t>
      </w:r>
      <w:r>
        <w:fldChar w:fldCharType="end"/>
      </w:r>
      <w:bookmarkEnd w:id="11"/>
      <w:r>
        <w:t>. Dynamic loading components for the first component at the 7 AM hour in the Greater Houston area.</w:t>
      </w:r>
    </w:p>
    <w:p w14:paraId="3D07120B" w14:textId="77777777" w:rsidR="00A80EF3" w:rsidRDefault="00A80EF3" w:rsidP="00A80EF3">
      <w:pPr>
        <w:pStyle w:val="Heading3"/>
      </w:pPr>
      <w:bookmarkStart w:id="12" w:name="_Ref95487279"/>
      <w:r>
        <w:lastRenderedPageBreak/>
        <w:t>Interpretation</w:t>
      </w:r>
      <w:bookmarkEnd w:id="12"/>
    </w:p>
    <w:p w14:paraId="534BF59B" w14:textId="77777777" w:rsidR="00A80EF3" w:rsidRDefault="00A80EF3" w:rsidP="00A80EF3">
      <w:r>
        <w:t>In this section, we provide potential explanations for the derived results. It is worth noting that in the absence of additional modeling, it is difficult to determine the specific relationships between the variables from PCA alone.</w:t>
      </w:r>
      <w:r>
        <w:fldChar w:fldCharType="begin"/>
      </w:r>
      <w:r>
        <w:instrText xml:space="preserve"> ADDIN ZOTERO_ITEM CSL_CITATION {"citationID":"cunDWaVx","properties":{"formattedCitation":"\\super 15\\nosupersub{}","plainCitation":"15","noteIndex":0},"citationItems":[{"id":58,"uris":["http://zotero.org/users/4282478/items/I7M9CPTB"],"uri":["http://zotero.org/users/4282478/items/I7M9CPTB"],"itemData":{"id":58,"type":"book","abstract":"Expanded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fldChar w:fldCharType="separate"/>
      </w:r>
      <w:r w:rsidRPr="004D412C">
        <w:rPr>
          <w:rFonts w:ascii="Cambria" w:hAnsi="Cambria" w:cs="Times New Roman"/>
          <w:szCs w:val="24"/>
          <w:vertAlign w:val="superscript"/>
        </w:rPr>
        <w:t>15</w:t>
      </w:r>
      <w:r>
        <w:fldChar w:fldCharType="end"/>
      </w:r>
      <w:r>
        <w:t xml:space="preserve"> Nonetheless, we argue that a DPCA application is superior to PCA application in the information it retrieves and allows the user to ask questions about the data which would not be apparent in a static use case alone. </w:t>
      </w:r>
    </w:p>
    <w:p w14:paraId="241A0B56" w14:textId="77777777" w:rsidR="00A80EF3" w:rsidRDefault="00A80EF3" w:rsidP="00A80EF3">
      <w:pPr>
        <w:rPr>
          <w:rFonts w:eastAsiaTheme="minorEastAsia"/>
        </w:rPr>
      </w:pPr>
      <w:r>
        <w:t xml:space="preserve">As mentioned above, the first component exhibits heightened EV in the evening to early morning hours, peaking around 7 AM, before receding into the late morning afternoon hours. The EVs are higher in the winter period compared to the summer period. These patterns are consistent with the temporal patterns of the mixing height, defined by Seinfeld and </w:t>
      </w:r>
      <w:proofErr w:type="spellStart"/>
      <w:r>
        <w:t>Pandis</w:t>
      </w:r>
      <w:proofErr w:type="spellEnd"/>
      <w:r>
        <w:t xml:space="preserve"> as the height of an unstable layer of air in contact with the surface.</w:t>
      </w:r>
      <w:r>
        <w:fldChar w:fldCharType="begin"/>
      </w:r>
      <w:r>
        <w:instrText xml:space="preserve"> ADDIN ZOTERO_ITEM CSL_CITATION {"citationID":"8i3LN5d6","properties":{"formattedCitation":"\\super 15\\nosupersub{}","plainCitation":"15","noteIndex":0},"citationItems":[{"id":58,"uris":["http://zotero.org/users/4282478/items/I7M9CPTB"],"uri":["http://zotero.org/users/4282478/items/I7M9CPTB"],"itemData":{"id":58,"type":"book","abstract":"Expanded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fldChar w:fldCharType="separate"/>
      </w:r>
      <w:r w:rsidRPr="00AE46E5">
        <w:rPr>
          <w:rFonts w:ascii="Cambria" w:hAnsi="Cambria" w:cs="Times New Roman"/>
          <w:szCs w:val="24"/>
          <w:vertAlign w:val="superscript"/>
        </w:rPr>
        <w:t>15</w:t>
      </w:r>
      <w:r>
        <w:fldChar w:fldCharType="end"/>
      </w:r>
      <w:r>
        <w:t xml:space="preserve"> Observations from Houston suggest that the height contracts during nighttime hours and winter months and are consistent with the patterns described above.</w:t>
      </w:r>
      <w:r>
        <w:fldChar w:fldCharType="begin"/>
      </w:r>
      <w:r>
        <w:instrText xml:space="preserve"> ADDIN ZOTERO_ITEM CSL_CITATION {"citationID":"1LEMmYXb","properties":{"formattedCitation":"\\super 41\\nosupersub{}","plainCitation":"41","noteIndex":0},"citationItems":[{"id":689,"uris":["http://zotero.org/users/4282478/items/N8JQAXDK"],"uri":["http://zotero.org/users/4282478/items/N8JQAXDK"],"itemData":{"id":689,"type":"article-journal","abstract":"Abstract Boundary layer height is estimated during a 21-month period in Houston, Texas, using continuous ceilometer observations and the minimum-gradient method. A comparison with over 60 radiosondes indicates overall agreement between ceilometer- and radiosonde-estimated PBL and residual layer heights. Additionally, the ceilometer-estimated PBL heights agree well with 31 vertical profiles of ozone. Difficulty detecting the PBL height occurs immediately following a frontal system with precipitation, during periods with high wind speeds, and in the early evening when convection is weakening, a new stable surface layer is forming, and the lofted aerosols detected by the lidar do not represent the PBL. Long-term diurnal observations of the PBL height indicate nocturnal PBL heights range from approximately 100 to 300 m throughout the year, while the convective PBL displays more seasonal and daily variability typically ranging from 1100 m in the winter to 2000 m in the summer.","container-title":"Journal of Atmospheric and Oceanic Technology","DOI":"10.1175/JTECH-D-11-00114.1","ISSN":"0739-0572, 1520-0426","issue":"5","language":"EN","note":"publisher: American Meteorological Society\nsection: Journal of Atmospheric and Oceanic Technology","page":"697-710","source":"journals.ametsoc.org","title":"Seasonal Variability in the Diurnal Evolution of the Boundary Layer in a Near-Coastal Urban Environment","volume":"29","author":[{"family":"Haman","given":"Christine L."},{"family":"Lefer","given":"Barry"},{"family":"Morris","given":"Gary A."}],"issued":{"date-parts":[["2012",5,1]]}}}],"schema":"https://github.com/citation-style-language/schema/raw/master/csl-citation.json"} </w:instrText>
      </w:r>
      <w:r>
        <w:fldChar w:fldCharType="separate"/>
      </w:r>
      <w:r w:rsidRPr="00162789">
        <w:rPr>
          <w:rFonts w:ascii="Cambria" w:hAnsi="Cambria" w:cs="Times New Roman"/>
          <w:szCs w:val="24"/>
          <w:vertAlign w:val="superscript"/>
        </w:rPr>
        <w:t>41</w:t>
      </w:r>
      <w:r>
        <w:fldChar w:fldCharType="end"/>
      </w:r>
      <w:r>
        <w:t xml:space="preserve"> Additionally, the loadings in the first dynamic component shown in </w:t>
      </w:r>
      <w:r>
        <w:fldChar w:fldCharType="begin"/>
      </w:r>
      <w:r>
        <w:instrText xml:space="preserve"> REF _Ref95135959 \h </w:instrText>
      </w:r>
      <w:r>
        <w:fldChar w:fldCharType="separate"/>
      </w:r>
      <w:r>
        <w:t xml:space="preserve">Figure </w:t>
      </w:r>
      <w:r>
        <w:rPr>
          <w:noProof/>
        </w:rPr>
        <w:t>5</w:t>
      </w:r>
      <w:r>
        <w:fldChar w:fldCharType="end"/>
      </w:r>
      <w:r>
        <w:t xml:space="preserve"> are consistently elevated in </w:t>
      </w:r>
      <m:oMath>
        <m:sSup>
          <m:sSupPr>
            <m:ctrlPr>
              <w:rPr>
                <w:rFonts w:ascii="Cambria Math" w:hAnsi="Cambria Math"/>
                <w:i/>
              </w:rPr>
            </m:ctrlPr>
          </m:sSupPr>
          <m:e>
            <m:r>
              <m:rPr>
                <m:nor/>
              </m:rPr>
              <w:rPr>
                <w:rFonts w:ascii="Cambria Math" w:hAnsi="Cambria Math"/>
              </w:rPr>
              <m:t>CO</m:t>
            </m:r>
            <m:ctrlPr>
              <w:rPr>
                <w:rFonts w:ascii="Cambria Math" w:hAnsi="Cambria Math"/>
              </w:rPr>
            </m:ctrlPr>
          </m:e>
          <m:sup>
            <m:r>
              <w:rPr>
                <w:rFonts w:ascii="Cambria Math" w:hAnsi="Cambria Math"/>
              </w:rPr>
              <m:t>*</m:t>
            </m:r>
          </m:sup>
        </m:sSup>
      </m:oMath>
      <w:r>
        <w:rPr>
          <w:rFonts w:eastAsiaTheme="minorEastAsia"/>
        </w:rPr>
        <w:t xml:space="preserve">and </w:t>
      </w:r>
      <m:oMath>
        <m:sSubSup>
          <m:sSubSupPr>
            <m:ctrlPr>
              <w:rPr>
                <w:rFonts w:ascii="Cambria Math" w:eastAsiaTheme="minorEastAsia" w:hAnsi="Cambria Math"/>
                <w:i/>
              </w:rPr>
            </m:ctrlPr>
          </m:sSubSupPr>
          <m:e>
            <m:r>
              <m:rPr>
                <m:nor/>
              </m:rPr>
              <w:rPr>
                <w:rFonts w:ascii="Cambria Math" w:eastAsiaTheme="minorEastAsia" w:hAnsi="Cambria Math"/>
              </w:rPr>
              <m:t>NO</m:t>
            </m:r>
            <m:ctrlPr>
              <w:rPr>
                <w:rFonts w:ascii="Cambria Math" w:eastAsiaTheme="minorEastAsia" w:hAnsi="Cambria Math"/>
              </w:rPr>
            </m:ctrlP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two traffic-related emission variables whose contributions to the observed concentrations would be modulated by variations in the mixing height.</w:t>
      </w:r>
    </w:p>
    <w:p w14:paraId="1631956C" w14:textId="77777777" w:rsidR="00A80EF3" w:rsidRDefault="00A80EF3" w:rsidP="00A80EF3">
      <w:r>
        <w:rPr>
          <w:rFonts w:eastAsiaTheme="minorEastAsia"/>
        </w:rPr>
        <w:t>The interpretation of the 2</w:t>
      </w:r>
      <w:r w:rsidRPr="00603EB1">
        <w:rPr>
          <w:rFonts w:eastAsiaTheme="minorEastAsia"/>
          <w:vertAlign w:val="superscript"/>
        </w:rPr>
        <w:t>nd</w:t>
      </w:r>
      <w:r>
        <w:rPr>
          <w:rFonts w:eastAsiaTheme="minorEastAsia"/>
        </w:rPr>
        <w:t xml:space="preserve"> dynamic component is trickier. </w:t>
      </w:r>
      <w:r>
        <w:rPr>
          <w:rFonts w:eastAsiaTheme="minorEastAsia"/>
        </w:rPr>
        <w:fldChar w:fldCharType="begin"/>
      </w:r>
      <w:r>
        <w:rPr>
          <w:rFonts w:eastAsiaTheme="minorEastAsia"/>
        </w:rPr>
        <w:instrText xml:space="preserve"> REF _Ref95127556 \h </w:instrText>
      </w:r>
      <w:r>
        <w:rPr>
          <w:rFonts w:eastAsiaTheme="minorEastAsia"/>
        </w:rPr>
      </w:r>
      <w:r>
        <w:rPr>
          <w:rFonts w:eastAsiaTheme="minorEastAsia"/>
        </w:rPr>
        <w:fldChar w:fldCharType="separate"/>
      </w:r>
      <w:r>
        <w:t xml:space="preserve">Figure </w:t>
      </w:r>
      <w:r>
        <w:rPr>
          <w:noProof/>
        </w:rPr>
        <w:t>4</w:t>
      </w:r>
      <w:r>
        <w:rPr>
          <w:rFonts w:eastAsiaTheme="minorEastAsia"/>
        </w:rPr>
        <w:fldChar w:fldCharType="end"/>
      </w:r>
      <w:r>
        <w:rPr>
          <w:rFonts w:eastAsiaTheme="minorEastAsia"/>
        </w:rPr>
        <w:t xml:space="preserve"> illustrates EV patterns in the 2</w:t>
      </w:r>
      <w:r w:rsidRPr="008D692A">
        <w:rPr>
          <w:rFonts w:eastAsiaTheme="minorEastAsia"/>
          <w:vertAlign w:val="superscript"/>
        </w:rPr>
        <w:t>nd</w:t>
      </w:r>
      <w:r>
        <w:rPr>
          <w:rFonts w:eastAsiaTheme="minorEastAsia"/>
        </w:rPr>
        <w:t xml:space="preserve"> component mirroring those in the 1</w:t>
      </w:r>
      <w:r w:rsidRPr="008D692A">
        <w:rPr>
          <w:rFonts w:eastAsiaTheme="minorEastAsia"/>
          <w:vertAlign w:val="superscript"/>
        </w:rPr>
        <w:t>st</w:t>
      </w:r>
      <w:r>
        <w:rPr>
          <w:rFonts w:eastAsiaTheme="minorEastAsia"/>
        </w:rPr>
        <w:t xml:space="preserve"> component, with increases in the late morning to early afternoon hours and recessions into the evening hours. However, as mentioned previously, there are notable episodic bursts which shatter this pattern of behavior. The black lines in </w:t>
      </w:r>
      <w:r>
        <w:rPr>
          <w:rFonts w:eastAsiaTheme="minorEastAsia"/>
        </w:rPr>
        <w:fldChar w:fldCharType="begin"/>
      </w:r>
      <w:r>
        <w:rPr>
          <w:rFonts w:eastAsiaTheme="minorEastAsia"/>
        </w:rPr>
        <w:instrText xml:space="preserve"> REF _Ref95127556 \h </w:instrText>
      </w:r>
      <w:r>
        <w:rPr>
          <w:rFonts w:eastAsiaTheme="minorEastAsia"/>
        </w:rPr>
      </w:r>
      <w:r>
        <w:rPr>
          <w:rFonts w:eastAsiaTheme="minorEastAsia"/>
        </w:rPr>
        <w:fldChar w:fldCharType="separate"/>
      </w:r>
      <w:r>
        <w:t xml:space="preserve">Figure </w:t>
      </w:r>
      <w:r>
        <w:rPr>
          <w:noProof/>
        </w:rPr>
        <w:t>4</w:t>
      </w:r>
      <w:r>
        <w:rPr>
          <w:rFonts w:eastAsiaTheme="minorEastAsia"/>
        </w:rPr>
        <w:fldChar w:fldCharType="end"/>
      </w:r>
      <w:r>
        <w:rPr>
          <w:rFonts w:eastAsiaTheme="minorEastAsia"/>
        </w:rPr>
        <w:t xml:space="preserve">, as well as the red lines in </w:t>
      </w:r>
      <w:r>
        <w:rPr>
          <w:rFonts w:eastAsiaTheme="minorEastAsia"/>
        </w:rPr>
        <w:fldChar w:fldCharType="begin"/>
      </w:r>
      <w:r>
        <w:rPr>
          <w:rFonts w:eastAsiaTheme="minorEastAsia"/>
        </w:rPr>
        <w:instrText xml:space="preserve"> REF _Ref94861658 \h </w:instrText>
      </w:r>
      <w:r>
        <w:rPr>
          <w:rFonts w:eastAsiaTheme="minorEastAsia"/>
        </w:rPr>
      </w:r>
      <w:r>
        <w:rPr>
          <w:rFonts w:eastAsiaTheme="minorEastAsia"/>
        </w:rPr>
        <w:fldChar w:fldCharType="separate"/>
      </w:r>
      <w:r>
        <w:t xml:space="preserve">Figure </w:t>
      </w:r>
      <w:r>
        <w:rPr>
          <w:noProof/>
        </w:rPr>
        <w:t>3</w:t>
      </w:r>
      <w:r>
        <w:rPr>
          <w:rFonts w:eastAsiaTheme="minorEastAsia"/>
        </w:rPr>
        <w:fldChar w:fldCharType="end"/>
      </w:r>
      <w:r>
        <w:rPr>
          <w:rFonts w:eastAsiaTheme="minorEastAsia"/>
        </w:rPr>
        <w:t xml:space="preserve">, </w:t>
      </w:r>
      <w:r>
        <w:t xml:space="preserve">capture an episode from September to </w:t>
      </w:r>
      <w:r>
        <w:lastRenderedPageBreak/>
        <w:t xml:space="preserve">November in 2016 in which this second principal component explains &gt; 30% of the variance. To explore the episode further, we plot the hourly dynamic loading coefficients at the 4 AM hour, the hour in which this component has maximum EV, in </w:t>
      </w:r>
      <w:r>
        <w:fldChar w:fldCharType="begin"/>
      </w:r>
      <w:r>
        <w:instrText xml:space="preserve"> REF _Ref95136156 \h </w:instrText>
      </w:r>
      <w:r>
        <w:fldChar w:fldCharType="separate"/>
      </w:r>
      <w:r>
        <w:t xml:space="preserve">Figure </w:t>
      </w:r>
      <w:r>
        <w:rPr>
          <w:noProof/>
        </w:rPr>
        <w:t>6</w:t>
      </w:r>
      <w:r>
        <w:fldChar w:fldCharType="end"/>
      </w:r>
      <w:r>
        <w:t xml:space="preserve"> and the dynamic correlations for the ’16 year with a paneled background colored by hourly averaged wind direction in </w:t>
      </w:r>
      <w:r>
        <w:fldChar w:fldCharType="begin"/>
      </w:r>
      <w:r>
        <w:instrText xml:space="preserve"> REF _Ref95136405 \h </w:instrText>
      </w:r>
      <w:r>
        <w:fldChar w:fldCharType="separate"/>
      </w:r>
      <w:r>
        <w:t xml:space="preserve">Figure </w:t>
      </w:r>
      <w:r>
        <w:rPr>
          <w:noProof/>
        </w:rPr>
        <w:t>7</w:t>
      </w:r>
      <w:r>
        <w:fldChar w:fldCharType="end"/>
      </w:r>
      <w:r>
        <w:t xml:space="preserve">. </w:t>
      </w:r>
    </w:p>
    <w:p w14:paraId="073E0609" w14:textId="77777777" w:rsidR="00A80EF3" w:rsidRDefault="00A80EF3" w:rsidP="00A80EF3">
      <w:r>
        <w:t xml:space="preserve">In the second component dynamic loadings plotted in </w:t>
      </w:r>
      <w:r>
        <w:fldChar w:fldCharType="begin"/>
      </w:r>
      <w:r>
        <w:instrText xml:space="preserve"> REF _Ref95136156 \h </w:instrText>
      </w:r>
      <w:r>
        <w:fldChar w:fldCharType="separate"/>
      </w:r>
      <w:r>
        <w:t xml:space="preserve">Figure </w:t>
      </w:r>
      <w:r>
        <w:rPr>
          <w:noProof/>
        </w:rPr>
        <w:t>6</w:t>
      </w:r>
      <w:r>
        <w:fldChar w:fldCharType="end"/>
      </w:r>
      <w:r>
        <w:t xml:space="preserve">, we observe the dominance of </w:t>
      </w:r>
      <m:oMath>
        <m:sSubSup>
          <m:sSubSupPr>
            <m:ctrlPr>
              <w:rPr>
                <w:rFonts w:ascii="Cambria Math" w:hAnsi="Cambria Math"/>
              </w:rPr>
            </m:ctrlPr>
          </m:sSubSupPr>
          <m:e>
            <m:r>
              <m:rPr>
                <m:nor/>
              </m:rPr>
              <w:rPr>
                <w:rFonts w:ascii="Cambria Math" w:hAnsi="Cambria Math"/>
              </w:rPr>
              <m:t>SO</m:t>
            </m:r>
          </m:e>
          <m:sub>
            <m:r>
              <m:rPr>
                <m:sty m:val="p"/>
              </m:rPr>
              <w:rPr>
                <w:rFonts w:ascii="Cambria Math" w:hAnsi="Cambria Math"/>
              </w:rPr>
              <m:t>2</m:t>
            </m:r>
          </m:sub>
          <m:sup>
            <m:r>
              <m:rPr>
                <m:sty m:val="p"/>
              </m:rPr>
              <w:rPr>
                <w:rFonts w:ascii="Cambria Math" w:hAnsi="Cambria Math"/>
              </w:rPr>
              <m:t>*</m:t>
            </m:r>
          </m:sup>
        </m:sSubSup>
      </m:oMath>
      <w:r>
        <w:t xml:space="preserve">, </w:t>
      </w:r>
      <m:oMath>
        <m:sSup>
          <m:sSupPr>
            <m:ctrlPr>
              <w:rPr>
                <w:rFonts w:ascii="Cambria Math" w:hAnsi="Cambria Math"/>
              </w:rPr>
            </m:ctrlPr>
          </m:sSupPr>
          <m:e>
            <m:r>
              <m:rPr>
                <m:nor/>
              </m:rPr>
              <w:rPr>
                <w:rFonts w:ascii="Cambria Math" w:hAnsi="Cambria Math"/>
              </w:rPr>
              <m:t>Temp</m:t>
            </m:r>
          </m:e>
          <m:sup>
            <m:r>
              <m:rPr>
                <m:sty m:val="p"/>
              </m:rPr>
              <w:rPr>
                <w:rFonts w:ascii="Cambria Math" w:hAnsi="Cambria Math"/>
              </w:rPr>
              <m:t>*</m:t>
            </m:r>
          </m:sup>
        </m:sSup>
      </m:oMath>
      <w:r>
        <w:t xml:space="preserve">, </w:t>
      </w:r>
      <m:oMath>
        <m:sSup>
          <m:sSupPr>
            <m:ctrlPr>
              <w:rPr>
                <w:rFonts w:ascii="Cambria Math" w:hAnsi="Cambria Math"/>
              </w:rPr>
            </m:ctrlPr>
          </m:sSupPr>
          <m:e>
            <m:r>
              <m:rPr>
                <m:nor/>
              </m:rPr>
              <w:rPr>
                <w:rFonts w:ascii="Cambria Math" w:hAnsi="Cambria Math"/>
              </w:rPr>
              <m:t>RH</m:t>
            </m:r>
          </m:e>
          <m:sup>
            <m:r>
              <m:rPr>
                <m:sty m:val="p"/>
              </m:rPr>
              <w:rPr>
                <w:rFonts w:ascii="Cambria Math" w:hAnsi="Cambria Math"/>
              </w:rPr>
              <m:t>*</m:t>
            </m:r>
          </m:sup>
        </m:sSup>
      </m:oMath>
      <w:r>
        <w:t xml:space="preserve">, and </w:t>
      </w:r>
      <m:oMath>
        <m:sSup>
          <m:sSupPr>
            <m:ctrlPr>
              <w:rPr>
                <w:rFonts w:ascii="Cambria Math" w:hAnsi="Cambria Math"/>
              </w:rPr>
            </m:ctrlPr>
          </m:sSupPr>
          <m:e>
            <m:r>
              <m:rPr>
                <m:nor/>
              </m:rPr>
              <w:rPr>
                <w:rFonts w:ascii="Cambria Math" w:hAnsi="Cambria Math"/>
              </w:rPr>
              <m:t>P</m:t>
            </m:r>
          </m:e>
          <m:sup>
            <m:r>
              <m:rPr>
                <m:sty m:val="p"/>
              </m:rPr>
              <w:rPr>
                <w:rFonts w:ascii="Cambria Math" w:hAnsi="Cambria Math"/>
              </w:rPr>
              <m:t>*</m:t>
            </m:r>
          </m:sup>
        </m:sSup>
      </m:oMath>
      <w:r>
        <w:t xml:space="preserve"> with average absolute values of 0.33, 0.43, 0.47, and 0.35, respectively. In general, the </w:t>
      </w:r>
      <m:oMath>
        <m:sSup>
          <m:sSupPr>
            <m:ctrlPr>
              <w:rPr>
                <w:rFonts w:ascii="Cambria Math" w:hAnsi="Cambria Math"/>
              </w:rPr>
            </m:ctrlPr>
          </m:sSupPr>
          <m:e>
            <m:r>
              <m:rPr>
                <m:nor/>
              </m:rPr>
              <w:rPr>
                <w:rFonts w:ascii="Cambria Math" w:hAnsi="Cambria Math"/>
              </w:rPr>
              <m:t>RH</m:t>
            </m:r>
          </m:e>
          <m:sup>
            <m:r>
              <m:rPr>
                <m:sty m:val="p"/>
              </m:rPr>
              <w:rPr>
                <w:rFonts w:ascii="Cambria Math" w:hAnsi="Cambria Math"/>
              </w:rPr>
              <m:t>*</m:t>
            </m:r>
          </m:sup>
        </m:sSup>
      </m:oMath>
      <w:r>
        <w:t xml:space="preserve"> loadings appear to be largely anticorrelated with </w:t>
      </w:r>
      <m:oMath>
        <m:sSubSup>
          <m:sSubSupPr>
            <m:ctrlPr>
              <w:rPr>
                <w:rFonts w:ascii="Cambria Math" w:hAnsi="Cambria Math"/>
              </w:rPr>
            </m:ctrlPr>
          </m:sSubSupPr>
          <m:e>
            <m:r>
              <m:rPr>
                <m:nor/>
              </m:rPr>
              <w:rPr>
                <w:rFonts w:ascii="Cambria Math" w:hAnsi="Cambria Math"/>
              </w:rPr>
              <m:t>SO</m:t>
            </m:r>
          </m:e>
          <m:sub>
            <m:r>
              <m:rPr>
                <m:sty m:val="p"/>
              </m:rPr>
              <w:rPr>
                <w:rFonts w:ascii="Cambria Math" w:hAnsi="Cambria Math"/>
              </w:rPr>
              <m:t>2</m:t>
            </m:r>
          </m:sub>
          <m:sup>
            <m:r>
              <m:rPr>
                <m:sty m:val="p"/>
              </m:rPr>
              <w:rPr>
                <w:rFonts w:ascii="Cambria Math" w:hAnsi="Cambria Math"/>
              </w:rPr>
              <m:t>*</m:t>
            </m:r>
          </m:sup>
        </m:sSubSup>
      </m:oMath>
      <w:r>
        <w:t xml:space="preserve"> and </w:t>
      </w:r>
      <m:oMath>
        <m:sSup>
          <m:sSupPr>
            <m:ctrlPr>
              <w:rPr>
                <w:rFonts w:ascii="Cambria Math" w:hAnsi="Cambria Math"/>
              </w:rPr>
            </m:ctrlPr>
          </m:sSupPr>
          <m:e>
            <m:r>
              <m:rPr>
                <m:nor/>
              </m:rPr>
              <w:rPr>
                <w:rFonts w:ascii="Cambria Math" w:hAnsi="Cambria Math"/>
              </w:rPr>
              <m:t>P</m:t>
            </m:r>
          </m:e>
          <m:sup>
            <m:r>
              <m:rPr>
                <m:sty m:val="p"/>
              </m:rPr>
              <w:rPr>
                <w:rFonts w:ascii="Cambria Math" w:hAnsi="Cambria Math"/>
              </w:rPr>
              <m:t>*</m:t>
            </m:r>
          </m:sup>
        </m:sSup>
      </m:oMath>
      <w:r>
        <w:t xml:space="preserve"> loadings and correlated with </w:t>
      </w:r>
      <m:oMath>
        <m:sSup>
          <m:sSupPr>
            <m:ctrlPr>
              <w:rPr>
                <w:rFonts w:ascii="Cambria Math" w:hAnsi="Cambria Math"/>
              </w:rPr>
            </m:ctrlPr>
          </m:sSupPr>
          <m:e>
            <m:r>
              <m:rPr>
                <m:nor/>
              </m:rPr>
              <w:rPr>
                <w:rFonts w:ascii="Cambria Math" w:hAnsi="Cambria Math"/>
              </w:rPr>
              <m:t>Temp</m:t>
            </m:r>
          </m:e>
          <m:sup>
            <m:r>
              <m:rPr>
                <m:sty m:val="p"/>
              </m:rPr>
              <w:rPr>
                <w:rFonts w:ascii="Cambria Math" w:hAnsi="Cambria Math"/>
              </w:rPr>
              <m:t>*</m:t>
            </m:r>
          </m:sup>
        </m:sSup>
      </m:oMath>
      <w:r>
        <w:t xml:space="preserve">  loadings, though there are noticeable blips that occur primarily in the summertime. Zooming in on the time period of heightened EV, we observe steady increases in </w:t>
      </w:r>
      <m:oMath>
        <m:sSup>
          <m:sSupPr>
            <m:ctrlPr>
              <w:rPr>
                <w:rFonts w:ascii="Cambria Math" w:hAnsi="Cambria Math"/>
              </w:rPr>
            </m:ctrlPr>
          </m:sSupPr>
          <m:e>
            <m:r>
              <m:rPr>
                <m:nor/>
              </m:rPr>
              <w:rPr>
                <w:rFonts w:ascii="Cambria Math" w:hAnsi="Cambria Math"/>
              </w:rPr>
              <m:t>P</m:t>
            </m:r>
          </m:e>
          <m:sup>
            <m:r>
              <m:rPr>
                <m:sty m:val="p"/>
              </m:rPr>
              <w:rPr>
                <w:rFonts w:ascii="Cambria Math" w:hAnsi="Cambria Math"/>
              </w:rPr>
              <m:t>*</m:t>
            </m:r>
          </m:sup>
        </m:sSup>
      </m:oMath>
      <w:r>
        <w:t xml:space="preserve">, </w:t>
      </w:r>
      <m:oMath>
        <m:sSup>
          <m:sSupPr>
            <m:ctrlPr>
              <w:rPr>
                <w:rFonts w:ascii="Cambria Math" w:hAnsi="Cambria Math"/>
              </w:rPr>
            </m:ctrlPr>
          </m:sSupPr>
          <m:e>
            <m:r>
              <m:rPr>
                <m:nor/>
              </m:rPr>
              <w:rPr>
                <w:rFonts w:ascii="Cambria Math" w:hAnsi="Cambria Math"/>
              </w:rPr>
              <m:t>Temp</m:t>
            </m:r>
          </m:e>
          <m:sup>
            <m:r>
              <m:rPr>
                <m:sty m:val="p"/>
              </m:rPr>
              <w:rPr>
                <w:rFonts w:ascii="Cambria Math" w:hAnsi="Cambria Math"/>
              </w:rPr>
              <m:t>*</m:t>
            </m:r>
          </m:sup>
        </m:sSup>
      </m:oMath>
      <w:r>
        <w:t xml:space="preserve">, and </w:t>
      </w:r>
      <m:oMath>
        <m:sSubSup>
          <m:sSubSupPr>
            <m:ctrlPr>
              <w:rPr>
                <w:rFonts w:ascii="Cambria Math" w:hAnsi="Cambria Math"/>
              </w:rPr>
            </m:ctrlPr>
          </m:sSubSupPr>
          <m:e>
            <m:r>
              <m:rPr>
                <m:nor/>
              </m:rPr>
              <w:rPr>
                <w:rFonts w:ascii="Cambria Math" w:hAnsi="Cambria Math"/>
              </w:rPr>
              <m:t>SO</m:t>
            </m:r>
          </m:e>
          <m:sub>
            <m:r>
              <m:rPr>
                <m:sty m:val="p"/>
              </m:rPr>
              <w:rPr>
                <w:rFonts w:ascii="Cambria Math" w:hAnsi="Cambria Math"/>
              </w:rPr>
              <m:t>2</m:t>
            </m:r>
          </m:sub>
          <m:sup>
            <m:r>
              <m:rPr>
                <m:sty m:val="p"/>
              </m:rPr>
              <w:rPr>
                <w:rFonts w:ascii="Cambria Math" w:hAnsi="Cambria Math"/>
              </w:rPr>
              <m:t>*</m:t>
            </m:r>
          </m:sup>
        </m:sSubSup>
      </m:oMath>
      <w:r>
        <w:t xml:space="preserve"> and a blip in </w:t>
      </w:r>
      <m:oMath>
        <m:sSup>
          <m:sSupPr>
            <m:ctrlPr>
              <w:rPr>
                <w:rFonts w:ascii="Cambria Math" w:hAnsi="Cambria Math"/>
              </w:rPr>
            </m:ctrlPr>
          </m:sSupPr>
          <m:e>
            <m:r>
              <m:rPr>
                <m:nor/>
              </m:rPr>
              <w:rPr>
                <w:rFonts w:ascii="Cambria Math" w:hAnsi="Cambria Math"/>
              </w:rPr>
              <m:t>RH</m:t>
            </m:r>
          </m:e>
          <m:sup>
            <m:r>
              <m:rPr>
                <m:sty m:val="p"/>
              </m:rPr>
              <w:rPr>
                <w:rFonts w:ascii="Cambria Math" w:hAnsi="Cambria Math"/>
              </w:rPr>
              <m:t>*</m:t>
            </m:r>
          </m:sup>
        </m:sSup>
      </m:oMath>
      <w:r>
        <w:t>, suggesting that the 2</w:t>
      </w:r>
      <w:proofErr w:type="spellStart"/>
      <w:r w:rsidRPr="00B62325">
        <w:rPr>
          <w:vertAlign w:val="superscript"/>
        </w:rPr>
        <w:t>nd</w:t>
      </w:r>
      <w:proofErr w:type="spellEnd"/>
      <w:r>
        <w:t xml:space="preserve"> dynamic component is placing increased importance on these variables during this time period. Looking at the dynamic correlations plotted in </w:t>
      </w:r>
      <w:r>
        <w:fldChar w:fldCharType="begin"/>
      </w:r>
      <w:r>
        <w:instrText xml:space="preserve"> REF _Ref95136405 \h </w:instrText>
      </w:r>
      <w:r>
        <w:fldChar w:fldCharType="separate"/>
      </w:r>
      <w:r>
        <w:t xml:space="preserve">Figure </w:t>
      </w:r>
      <w:r>
        <w:rPr>
          <w:noProof/>
        </w:rPr>
        <w:t>7</w:t>
      </w:r>
      <w:r>
        <w:fldChar w:fldCharType="end"/>
      </w:r>
      <w:r>
        <w:t xml:space="preserve">, we denote abrupt changes in the relationships exhibited between meteorological variables and </w:t>
      </w:r>
      <m:oMath>
        <m:sSubSup>
          <m:sSubSupPr>
            <m:ctrlPr>
              <w:rPr>
                <w:rFonts w:ascii="Cambria Math" w:hAnsi="Cambria Math"/>
              </w:rPr>
            </m:ctrlPr>
          </m:sSubSupPr>
          <m:e>
            <m:r>
              <m:rPr>
                <m:nor/>
              </m:rPr>
              <w:rPr>
                <w:rFonts w:ascii="Cambria Math" w:hAnsi="Cambria Math"/>
              </w:rPr>
              <m:t>SO</m:t>
            </m:r>
          </m:e>
          <m:sub>
            <m:r>
              <m:rPr>
                <m:sty m:val="p"/>
              </m:rPr>
              <w:rPr>
                <w:rFonts w:ascii="Cambria Math" w:hAnsi="Cambria Math"/>
              </w:rPr>
              <m:t>2</m:t>
            </m:r>
          </m:sub>
          <m:sup>
            <m:r>
              <m:rPr>
                <m:sty m:val="p"/>
              </m:rPr>
              <w:rPr>
                <w:rFonts w:ascii="Cambria Math" w:hAnsi="Cambria Math"/>
              </w:rPr>
              <m:t>*</m:t>
            </m:r>
          </m:sup>
        </m:sSubSup>
      </m:oMath>
      <w:r>
        <w:rPr>
          <w:rFonts w:eastAsiaTheme="minorEastAsia"/>
        </w:rPr>
        <w:t xml:space="preserve">. </w:t>
      </w:r>
      <w:r>
        <w:t xml:space="preserve">The shift in correlation between </w:t>
      </w:r>
      <m:oMath>
        <m:sSup>
          <m:sSupPr>
            <m:ctrlPr>
              <w:rPr>
                <w:rFonts w:ascii="Cambria Math" w:hAnsi="Cambria Math"/>
              </w:rPr>
            </m:ctrlPr>
          </m:sSupPr>
          <m:e>
            <m:r>
              <m:rPr>
                <m:nor/>
              </m:rPr>
              <w:rPr>
                <w:rFonts w:ascii="Cambria Math" w:hAnsi="Cambria Math"/>
              </w:rPr>
              <m:t>RH</m:t>
            </m:r>
          </m:e>
          <m:sup>
            <m:r>
              <m:rPr>
                <m:sty m:val="p"/>
              </m:rPr>
              <w:rPr>
                <w:rFonts w:ascii="Cambria Math" w:hAnsi="Cambria Math"/>
              </w:rPr>
              <m:t>*</m:t>
            </m:r>
          </m:sup>
        </m:sSup>
      </m:oMath>
      <w:r>
        <w:t xml:space="preserve"> and</w:t>
      </w:r>
      <w:r>
        <w:rPr>
          <w:rFonts w:eastAsiaTheme="minorEastAsia"/>
        </w:rPr>
        <w:t xml:space="preserve"> </w:t>
      </w:r>
      <m:oMath>
        <m:sSup>
          <m:sSupPr>
            <m:ctrlPr>
              <w:rPr>
                <w:rFonts w:ascii="Cambria Math" w:hAnsi="Cambria Math"/>
              </w:rPr>
            </m:ctrlPr>
          </m:sSupPr>
          <m:e>
            <m:r>
              <m:rPr>
                <m:nor/>
              </m:rPr>
              <w:rPr>
                <w:rFonts w:ascii="Cambria Math" w:hAnsi="Cambria Math"/>
              </w:rPr>
              <m:t>Temp</m:t>
            </m:r>
          </m:e>
          <m:sup>
            <m:r>
              <m:rPr>
                <m:sty m:val="p"/>
              </m:rPr>
              <w:rPr>
                <w:rFonts w:ascii="Cambria Math" w:hAnsi="Cambria Math"/>
              </w:rPr>
              <m:t>*</m:t>
            </m:r>
          </m:sup>
        </m:sSup>
      </m:oMath>
      <w:r>
        <w:t xml:space="preserve"> is not entirely unexpected;  previous work has shown that there can exist a negative relationship between these two variables at high temperatures,</w:t>
      </w:r>
      <w:r>
        <w:fldChar w:fldCharType="begin"/>
      </w:r>
      <w:r>
        <w:instrText xml:space="preserve"> ADDIN ZOTERO_ITEM CSL_CITATION {"citationID":"uWtOC2Fx","properties":{"formattedCitation":"\\super 42,43\\nosupersub{}","plainCitation":"42,43","noteIndex":0},"citationItems":[{"id":692,"uris":["http://zotero.org/users/4282478/items/TIUXH7LU"],"uri":["http://zotero.org/users/4282478/items/TIUXH7LU"],"itemData":{"id":692,"type":"article-journal","abstract":"Expected changes to future extreme precipitation remain a key uncertainty associated with anthropogenic climate change. Recently, extreme precipitation has been proposed to scale with the precipitable water content in the atmosphere, which assuming relative humidity stays constant, will increase at a rate of ∼6.8%/°C as indicated by the Clausius-Clapeyron (C-C) relationship. We examine this scaling empirically using data from 137 long-record pluviograph and temperature gauges across Australia. We find that scaling rates are consistent with the C-C relationship for surface temperatures up to between 20°C and 26°C and for precipitation durations up to 30 minutes, implying that such scaling applies only for individual storm systems. At greater temperatures negative scaling is observed. Consideration of relative humidity data shows a pronounced decrease in the maximum relative humidity for land surface temperatures greater than 26°C, indicating that moisture availability becomes the dominant driver of how extreme precipitation scales at higher temperatures.","container-title":"Geophysical Research Letters","DOI":"10.1029/2010GL045081","ISSN":"1944-8007","issue":"22","language":"en","note":"_eprint: https://onlinelibrary.wiley.com/doi/pdf/10.1029/2010GL045081","source":"Wiley Online Library","title":"Observed relationships between extreme sub-daily precipitation, surface temperature, and relative humidity","URL":"https://onlinelibrary.wiley.com/doi/abs/10.1029/2010GL045081","volume":"37","author":[{"family":"Hardwick Jones","given":"Rhys"},{"family":"Westra","given":"Seth"},{"family":"Sharma","given":"Ashish"}],"accessed":{"date-parts":[["2022",2,7]]},"issued":{"date-parts":[["2010"]]}}},{"id":33,"uris":["http://zotero.org/users/4282478/items/JBD9AMQK"],"uri":["http://zotero.org/users/4282478/items/JBD9AMQK"],"itemData":{"id":33,"type":"article-journal","abstract":"Extreme rainfall increases with temperature and this is predicted to continue in a future warmer climate. Whilst a downturn in rainfall scaling is observed at high temperatures in the present day, this does not imply an upper limit on rainfall extremes in the future.","container-title":"Nature Climate Change","DOI":"10.1038/nclimate3239","ISSN":"1758-6798","issue":"4","journalAbbreviation":"Nature Clim Change","language":"en","note":"Bandiera_abtest: a\nCg_type: Nature Research Journals\nnumber: 4\nPrimary_atype: Research\npublisher: Nature Publishing Group\nSubject_term: Climate-change impacts;Hydrology\nSubject_term_id: climate-change-impacts;hydrology","page":"268-274","source":"www-nature-com.ezproxy.rice.edu","title":"The peak structure and future changes of the relationships between extreme precipitation and temperature","volume":"7","author":[{"family":"Wang","given":"Guiling"},{"family":"Wang","given":"Dagang"},{"family":"Trenberth","given":"Kevin E."},{"family":"Erfanian","given":"Amir"},{"family":"Yu","given":"Miao"},{"family":"Bosilovich","given":"Michael G."},{"family":"Parr","given":"Dana T."}],"issued":{"date-parts":[["2017",4]]}}}],"schema":"https://github.com/citation-style-language/schema/raw/master/csl-citation.json"} </w:instrText>
      </w:r>
      <w:r>
        <w:fldChar w:fldCharType="separate"/>
      </w:r>
      <w:r w:rsidRPr="00162789">
        <w:rPr>
          <w:rFonts w:ascii="Cambria" w:hAnsi="Cambria" w:cs="Times New Roman"/>
          <w:szCs w:val="24"/>
          <w:vertAlign w:val="superscript"/>
        </w:rPr>
        <w:t>42,43</w:t>
      </w:r>
      <w:r>
        <w:fldChar w:fldCharType="end"/>
      </w:r>
      <w:r>
        <w:t xml:space="preserve"> while during the cooler months cold fronts </w:t>
      </w:r>
      <w:proofErr w:type="spellStart"/>
      <w:r>
        <w:t>advect</w:t>
      </w:r>
      <w:proofErr w:type="spellEnd"/>
      <w:r>
        <w:t xml:space="preserve"> dry, cool air masses into Houston. It is apparent that the component is marking a shift in meteorological conditions, but the implications of these changes on </w:t>
      </w:r>
      <m:oMath>
        <m:sSubSup>
          <m:sSubSupPr>
            <m:ctrlPr>
              <w:rPr>
                <w:rFonts w:ascii="Cambria Math" w:hAnsi="Cambria Math"/>
              </w:rPr>
            </m:ctrlPr>
          </m:sSubSupPr>
          <m:e>
            <m:r>
              <m:rPr>
                <m:nor/>
              </m:rPr>
              <w:rPr>
                <w:rFonts w:ascii="Cambria Math" w:hAnsi="Cambria Math"/>
              </w:rPr>
              <m:t>SO</m:t>
            </m:r>
          </m:e>
          <m:sub>
            <m:r>
              <m:rPr>
                <m:sty m:val="p"/>
              </m:rPr>
              <w:rPr>
                <w:rFonts w:ascii="Cambria Math" w:hAnsi="Cambria Math"/>
              </w:rPr>
              <m:t>2</m:t>
            </m:r>
          </m:sub>
          <m:sup>
            <m:r>
              <m:rPr>
                <m:sty m:val="p"/>
              </m:rPr>
              <w:rPr>
                <w:rFonts w:ascii="Cambria Math" w:hAnsi="Cambria Math"/>
              </w:rPr>
              <m:t>*</m:t>
            </m:r>
          </m:sup>
        </m:sSubSup>
      </m:oMath>
      <w:r>
        <w:rPr>
          <w:rFonts w:eastAsiaTheme="minorEastAsia"/>
        </w:rPr>
        <w:t xml:space="preserve"> concentrations cannot be determined through this analysis alone. For example, the exhibited relationship between these variables could suggest a shift between warm, summertime meteorological conditions and drier, cooler conditions brought in from winds </w:t>
      </w:r>
      <w:proofErr w:type="spellStart"/>
      <w:r>
        <w:rPr>
          <w:rFonts w:eastAsiaTheme="minorEastAsia"/>
        </w:rPr>
        <w:t>advecting</w:t>
      </w:r>
      <w:proofErr w:type="spellEnd"/>
      <w:r>
        <w:rPr>
          <w:rFonts w:eastAsiaTheme="minorEastAsia"/>
        </w:rPr>
        <w:t xml:space="preserve"> from the north which also happen to have </w:t>
      </w:r>
      <m:oMath>
        <m:sSubSup>
          <m:sSubSupPr>
            <m:ctrlPr>
              <w:rPr>
                <w:rFonts w:ascii="Cambria Math" w:hAnsi="Cambria Math"/>
              </w:rPr>
            </m:ctrlPr>
          </m:sSubSupPr>
          <m:e>
            <m:r>
              <m:rPr>
                <m:nor/>
              </m:rPr>
              <w:rPr>
                <w:rFonts w:ascii="Cambria Math" w:hAnsi="Cambria Math"/>
              </w:rPr>
              <m:t>SO</m:t>
            </m:r>
          </m:e>
          <m:sub>
            <m:r>
              <m:rPr>
                <m:sty m:val="p"/>
              </m:rPr>
              <w:rPr>
                <w:rFonts w:ascii="Cambria Math" w:hAnsi="Cambria Math"/>
              </w:rPr>
              <m:t>2</m:t>
            </m:r>
          </m:sub>
          <m:sup>
            <m:r>
              <m:rPr>
                <m:sty m:val="p"/>
              </m:rPr>
              <w:rPr>
                <w:rFonts w:ascii="Cambria Math" w:hAnsi="Cambria Math"/>
              </w:rPr>
              <m:t>*</m:t>
            </m:r>
          </m:sup>
        </m:sSubSup>
      </m:oMath>
      <w:r>
        <w:rPr>
          <w:rFonts w:eastAsiaTheme="minorEastAsia"/>
        </w:rPr>
        <w:t xml:space="preserve"> sources. The exhibited relationship could also signal </w:t>
      </w:r>
      <w:r>
        <w:rPr>
          <w:rFonts w:eastAsiaTheme="minorEastAsia"/>
        </w:rPr>
        <w:lastRenderedPageBreak/>
        <w:t xml:space="preserve">changing meteorological conditions which affect </w:t>
      </w:r>
      <m:oMath>
        <m:sSubSup>
          <m:sSubSupPr>
            <m:ctrlPr>
              <w:rPr>
                <w:rFonts w:ascii="Cambria Math" w:hAnsi="Cambria Math"/>
              </w:rPr>
            </m:ctrlPr>
          </m:sSubSupPr>
          <m:e>
            <m:r>
              <m:rPr>
                <m:nor/>
              </m:rPr>
              <w:rPr>
                <w:rFonts w:ascii="Cambria Math" w:hAnsi="Cambria Math"/>
              </w:rPr>
              <m:t>SO</m:t>
            </m:r>
          </m:e>
          <m:sub>
            <m:r>
              <m:rPr>
                <m:sty m:val="p"/>
              </m:rPr>
              <w:rPr>
                <w:rFonts w:ascii="Cambria Math" w:hAnsi="Cambria Math"/>
              </w:rPr>
              <m:t>2</m:t>
            </m:r>
          </m:sub>
          <m:sup>
            <m:r>
              <m:rPr>
                <m:sty m:val="p"/>
              </m:rPr>
              <w:rPr>
                <w:rFonts w:ascii="Cambria Math" w:hAnsi="Cambria Math"/>
              </w:rPr>
              <m:t>*</m:t>
            </m:r>
          </m:sup>
        </m:sSubSup>
      </m:oMath>
      <w:r>
        <w:rPr>
          <w:rFonts w:eastAsiaTheme="minorEastAsia"/>
        </w:rPr>
        <w:t xml:space="preserve"> chemistry. This scenario is a common problem in PCA applications, as </w:t>
      </w:r>
      <w:r w:rsidRPr="00EC313A">
        <w:rPr>
          <w:noProof/>
        </w:rPr>
        <w:drawing>
          <wp:anchor distT="0" distB="0" distL="114300" distR="114300" simplePos="0" relativeHeight="251666432" behindDoc="0" locked="0" layoutInCell="1" allowOverlap="1" wp14:anchorId="7C5F9689" wp14:editId="7A1EEF6A">
            <wp:simplePos x="0" y="0"/>
            <wp:positionH relativeFrom="margin">
              <wp:align>right</wp:align>
            </wp:positionH>
            <wp:positionV relativeFrom="paragraph">
              <wp:posOffset>2352675</wp:posOffset>
            </wp:positionV>
            <wp:extent cx="5486400" cy="3522345"/>
            <wp:effectExtent l="0" t="0" r="0" b="1905"/>
            <wp:wrapTopAndBottom/>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12">
                      <a:extLst>
                        <a:ext uri="{28A0092B-C50C-407E-A947-70E740481C1C}">
                          <a14:useLocalDpi xmlns:a14="http://schemas.microsoft.com/office/drawing/2010/main" val="0"/>
                        </a:ext>
                      </a:extLst>
                    </a:blip>
                    <a:srcRect t="1992"/>
                    <a:stretch/>
                  </pic:blipFill>
                  <pic:spPr bwMode="auto">
                    <a:xfrm>
                      <a:off x="0" y="0"/>
                      <a:ext cx="5486400" cy="3522345"/>
                    </a:xfrm>
                    <a:prstGeom prst="rect">
                      <a:avLst/>
                    </a:prstGeom>
                    <a:ln>
                      <a:noFill/>
                    </a:ln>
                    <a:extLst>
                      <a:ext uri="{53640926-AAD7-44D8-BBD7-CCE9431645EC}">
                        <a14:shadowObscured xmlns:a14="http://schemas.microsoft.com/office/drawing/2010/main"/>
                      </a:ext>
                    </a:extLst>
                  </pic:spPr>
                </pic:pic>
              </a:graphicData>
            </a:graphic>
          </wp:anchor>
        </w:drawing>
      </w:r>
      <w:r>
        <w:rPr>
          <w:rFonts w:eastAsiaTheme="minorEastAsia"/>
        </w:rPr>
        <w:t>described in Seinfeld and Pandis.</w:t>
      </w:r>
      <w:r>
        <w:rPr>
          <w:rFonts w:eastAsiaTheme="minorEastAsia"/>
        </w:rPr>
        <w:fldChar w:fldCharType="begin"/>
      </w:r>
      <w:r>
        <w:rPr>
          <w:rFonts w:eastAsiaTheme="minorEastAsia"/>
        </w:rPr>
        <w:instrText xml:space="preserve"> ADDIN ZOTERO_ITEM CSL_CITATION {"citationID":"rJoTHGq6","properties":{"formattedCitation":"\\super 15\\nosupersub{}","plainCitation":"15","noteIndex":0},"citationItems":[{"id":58,"uris":["http://zotero.org/users/4282478/items/I7M9CPTB"],"uri":["http://zotero.org/users/4282478/items/I7M9CPTB"],"itemData":{"id":58,"type":"book","abstract":"Expanded and updated with new findings and new features  New chapter on Global Climate providing a self-contained treatment of climate forcing, feedbacks, and climate sensitivity New chapter on Atmospheric Organic Aerosols and new treatment of the statistical method of Positive Matrix Factorization Updated treatments of physical meteorology, atmospheric nucleation, aerosol-cloud relationships, chemistry of biogenic hydrocarbons Each topic developed from the fundamental science to the point of application to real-world problems New problems at an introductory level to aid in classroom teaching","ISBN":"978-1-118-94740-1","language":"en","note":"Google-Books-ID: n_RmCgAAQBAJ","number-of-pages":"1146","publisher":"John Wiley &amp; Sons","source":"Google Books","title":"Atmospheric Chemistry and Physics: From Air Pollution to Climate Change","title-short":"Atmospheric Chemistry and Physics","author":[{"family":"Seinfeld","given":"John H."},{"family":"Pandis","given":"Spyros N."}],"issued":{"date-parts":[["2016",4,4]]}}}],"schema":"https://github.com/citation-style-language/schema/raw/master/csl-citation.json"} </w:instrText>
      </w:r>
      <w:r>
        <w:rPr>
          <w:rFonts w:eastAsiaTheme="minorEastAsia"/>
        </w:rPr>
        <w:fldChar w:fldCharType="separate"/>
      </w:r>
      <w:r w:rsidRPr="00BE39B0">
        <w:rPr>
          <w:rFonts w:ascii="Cambria" w:hAnsi="Cambria" w:cs="Times New Roman"/>
          <w:szCs w:val="24"/>
          <w:vertAlign w:val="superscript"/>
        </w:rPr>
        <w:t>15</w:t>
      </w:r>
      <w:r>
        <w:rPr>
          <w:rFonts w:eastAsiaTheme="minorEastAsia"/>
        </w:rPr>
        <w:fldChar w:fldCharType="end"/>
      </w:r>
    </w:p>
    <w:p w14:paraId="717A4AC7" w14:textId="77777777" w:rsidR="00A80EF3" w:rsidRDefault="00A80EF3" w:rsidP="00A80EF3">
      <w:pPr>
        <w:pStyle w:val="Caption"/>
      </w:pPr>
      <w:bookmarkStart w:id="13" w:name="_Ref95136156"/>
      <w:r>
        <w:t xml:space="preserve">Figure </w:t>
      </w:r>
      <w:r>
        <w:fldChar w:fldCharType="begin"/>
      </w:r>
      <w:r>
        <w:instrText xml:space="preserve"> SEQ Figure \* ARABIC </w:instrText>
      </w:r>
      <w:r>
        <w:fldChar w:fldCharType="separate"/>
      </w:r>
      <w:r>
        <w:t>6</w:t>
      </w:r>
      <w:r>
        <w:fldChar w:fldCharType="end"/>
      </w:r>
      <w:bookmarkEnd w:id="13"/>
      <w:r>
        <w:t>. Dynamic loadings for the first three components in the 4 AM hour. The black lines denote an interesting episode that took place between September 9 – November 16, 2016.</w:t>
      </w:r>
    </w:p>
    <w:p w14:paraId="7B93A761" w14:textId="77777777" w:rsidR="00A80EF3" w:rsidRDefault="00A80EF3" w:rsidP="00A80EF3">
      <w:pPr>
        <w:ind w:firstLine="0"/>
      </w:pPr>
    </w:p>
    <w:p w14:paraId="6A893470" w14:textId="77777777" w:rsidR="00A80EF3" w:rsidRDefault="00A80EF3" w:rsidP="00A80EF3"/>
    <w:p w14:paraId="2CADA4CD" w14:textId="77777777" w:rsidR="00A80EF3" w:rsidRDefault="00A80EF3" w:rsidP="00A80EF3">
      <w:pPr>
        <w:pStyle w:val="Caption"/>
      </w:pPr>
      <w:bookmarkStart w:id="14" w:name="_Ref95136405"/>
      <w:r w:rsidRPr="00FF3988">
        <w:lastRenderedPageBreak/>
        <w:drawing>
          <wp:anchor distT="0" distB="0" distL="114300" distR="114300" simplePos="0" relativeHeight="251667456" behindDoc="0" locked="0" layoutInCell="1" allowOverlap="1" wp14:anchorId="0FD3BA36" wp14:editId="489B511B">
            <wp:simplePos x="0" y="0"/>
            <wp:positionH relativeFrom="margin">
              <wp:align>right</wp:align>
            </wp:positionH>
            <wp:positionV relativeFrom="paragraph">
              <wp:posOffset>1905</wp:posOffset>
            </wp:positionV>
            <wp:extent cx="5486400" cy="3530379"/>
            <wp:effectExtent l="0" t="0" r="0" b="0"/>
            <wp:wrapTopAndBottom/>
            <wp:docPr id="27" name="Picture 27" descr="Chart,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hematic&#10;&#10;Description automatically generated"/>
                    <pic:cNvPicPr/>
                  </pic:nvPicPr>
                  <pic:blipFill rotWithShape="1">
                    <a:blip r:embed="rId13">
                      <a:extLst>
                        <a:ext uri="{28A0092B-C50C-407E-A947-70E740481C1C}">
                          <a14:useLocalDpi xmlns:a14="http://schemas.microsoft.com/office/drawing/2010/main" val="0"/>
                        </a:ext>
                      </a:extLst>
                    </a:blip>
                    <a:srcRect t="-1" b="1547"/>
                    <a:stretch/>
                  </pic:blipFill>
                  <pic:spPr bwMode="auto">
                    <a:xfrm>
                      <a:off x="0" y="0"/>
                      <a:ext cx="5486400" cy="3530379"/>
                    </a:xfrm>
                    <a:prstGeom prst="rect">
                      <a:avLst/>
                    </a:prstGeom>
                    <a:ln>
                      <a:noFill/>
                    </a:ln>
                    <a:extLst>
                      <a:ext uri="{53640926-AAD7-44D8-BBD7-CCE9431645EC}">
                        <a14:shadowObscured xmlns:a14="http://schemas.microsoft.com/office/drawing/2010/main"/>
                      </a:ext>
                    </a:extLst>
                  </pic:spPr>
                </pic:pic>
              </a:graphicData>
            </a:graphic>
          </wp:anchor>
        </w:drawing>
      </w:r>
      <w:r>
        <w:t xml:space="preserve">Figure </w:t>
      </w:r>
      <w:r>
        <w:fldChar w:fldCharType="begin"/>
      </w:r>
      <w:r>
        <w:instrText xml:space="preserve"> SEQ Figure \* ARABIC </w:instrText>
      </w:r>
      <w:r>
        <w:fldChar w:fldCharType="separate"/>
      </w:r>
      <w:r>
        <w:t>7</w:t>
      </w:r>
      <w:r>
        <w:fldChar w:fldCharType="end"/>
      </w:r>
      <w:bookmarkEnd w:id="14"/>
      <w:r>
        <w:t xml:space="preserve">. Dynamic correlation plot with colored background corresponding the hourly averaged wind direction. Wind direction colors are denoted in the color bar on the far right. </w:t>
      </w:r>
    </w:p>
    <w:p w14:paraId="1C980678" w14:textId="77777777" w:rsidR="00A80EF3" w:rsidRDefault="00A80EF3" w:rsidP="00A80EF3">
      <w:r>
        <w:t xml:space="preserve">While our DPCA analysis still leaves open questions which may be unsatisfactory to an atmospheric scientist, it is worth noting that a static application of PCA would fail to capture these diurnal and seasonal dynamics. </w:t>
      </w:r>
      <w:r>
        <w:fldChar w:fldCharType="begin"/>
      </w:r>
      <w:r>
        <w:instrText xml:space="preserve"> REF _Ref95135417 \h </w:instrText>
      </w:r>
      <w:r>
        <w:fldChar w:fldCharType="separate"/>
      </w:r>
      <w:r>
        <w:t xml:space="preserve">Figure </w:t>
      </w:r>
      <w:r>
        <w:rPr>
          <w:noProof/>
        </w:rPr>
        <w:t>8</w:t>
      </w:r>
      <w:r>
        <w:fldChar w:fldCharType="end"/>
      </w:r>
      <w:r>
        <w:t xml:space="preserve"> illustrates a side-by-side comparison between the EV of a static PCA and a dynamic PCA. The left panel in </w:t>
      </w:r>
      <w:r>
        <w:fldChar w:fldCharType="begin"/>
      </w:r>
      <w:r>
        <w:instrText xml:space="preserve"> REF _Ref95135417 \h </w:instrText>
      </w:r>
      <w:r>
        <w:fldChar w:fldCharType="separate"/>
      </w:r>
      <w:r>
        <w:t xml:space="preserve">Figure </w:t>
      </w:r>
      <w:r>
        <w:rPr>
          <w:noProof/>
        </w:rPr>
        <w:t>8</w:t>
      </w:r>
      <w:r>
        <w:fldChar w:fldCharType="end"/>
      </w:r>
      <w:r>
        <w:t xml:space="preserve"> is what would result if no rolling window were </w:t>
      </w:r>
      <w:proofErr w:type="gramStart"/>
      <w:r>
        <w:t>applied</w:t>
      </w:r>
      <w:proofErr w:type="gramEnd"/>
      <w:r>
        <w:t xml:space="preserve"> and the static assessment were performed on each hour separately. As is evident in </w:t>
      </w:r>
      <w:r>
        <w:fldChar w:fldCharType="begin"/>
      </w:r>
      <w:r>
        <w:instrText xml:space="preserve"> REF _Ref95135417 \h </w:instrText>
      </w:r>
      <w:r>
        <w:fldChar w:fldCharType="separate"/>
      </w:r>
      <w:r>
        <w:t xml:space="preserve">Figure </w:t>
      </w:r>
      <w:r>
        <w:rPr>
          <w:noProof/>
        </w:rPr>
        <w:t>8</w:t>
      </w:r>
      <w:r>
        <w:fldChar w:fldCharType="end"/>
      </w:r>
      <w:r>
        <w:t xml:space="preserve">, dynamic PCA reveals temporal patterns throughout the year that its static counterpart cannot do. The application of DPCA allows the user to ask questions about the data which would not be apparent in a static application alone, making it more suitable for analyzing atmospheric data on extended time scales. </w:t>
      </w:r>
    </w:p>
    <w:p w14:paraId="0F3CF3B3" w14:textId="77777777" w:rsidR="00A80EF3" w:rsidRDefault="00A80EF3" w:rsidP="00A80EF3">
      <w:pPr>
        <w:ind w:firstLine="0"/>
      </w:pPr>
      <w:r>
        <w:rPr>
          <w:noProof/>
        </w:rPr>
        <w:lastRenderedPageBreak/>
        <w:drawing>
          <wp:anchor distT="0" distB="0" distL="114300" distR="114300" simplePos="0" relativeHeight="251663360" behindDoc="0" locked="0" layoutInCell="1" allowOverlap="1" wp14:anchorId="09834816" wp14:editId="0C712E37">
            <wp:simplePos x="0" y="0"/>
            <wp:positionH relativeFrom="margin">
              <wp:align>right</wp:align>
            </wp:positionH>
            <wp:positionV relativeFrom="paragraph">
              <wp:posOffset>333375</wp:posOffset>
            </wp:positionV>
            <wp:extent cx="5486400" cy="3056890"/>
            <wp:effectExtent l="0" t="0" r="0" b="0"/>
            <wp:wrapTopAndBottom/>
            <wp:docPr id="12" name="Picture 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ar chart&#10;&#10;Description automatically generated"/>
                    <pic:cNvPicPr/>
                  </pic:nvPicPr>
                  <pic:blipFill rotWithShape="1">
                    <a:blip r:embed="rId14">
                      <a:extLst>
                        <a:ext uri="{28A0092B-C50C-407E-A947-70E740481C1C}">
                          <a14:useLocalDpi xmlns:a14="http://schemas.microsoft.com/office/drawing/2010/main" val="0"/>
                        </a:ext>
                      </a:extLst>
                    </a:blip>
                    <a:srcRect l="7986" t="10494" r="13194" b="11420"/>
                    <a:stretch/>
                  </pic:blipFill>
                  <pic:spPr bwMode="auto">
                    <a:xfrm>
                      <a:off x="0" y="0"/>
                      <a:ext cx="5486400" cy="3056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5DE628" w14:textId="77777777" w:rsidR="00A80EF3" w:rsidRPr="00987E99" w:rsidRDefault="00A80EF3" w:rsidP="00A80EF3">
      <w:pPr>
        <w:pStyle w:val="Caption"/>
      </w:pPr>
      <w:bookmarkStart w:id="15" w:name="_Ref95135417"/>
      <w:r>
        <w:t xml:space="preserve">Figure </w:t>
      </w:r>
      <w:r>
        <w:fldChar w:fldCharType="begin"/>
      </w:r>
      <w:r>
        <w:instrText xml:space="preserve"> SEQ Figure \* ARABIC </w:instrText>
      </w:r>
      <w:r>
        <w:fldChar w:fldCharType="separate"/>
      </w:r>
      <w:r>
        <w:t>8</w:t>
      </w:r>
      <w:r>
        <w:fldChar w:fldCharType="end"/>
      </w:r>
      <w:bookmarkEnd w:id="15"/>
      <w:r>
        <w:t>. Side-by-side comparison of static and dynamic principal components. Static components fail to capture the temporal variations evident in a dynamic approach.</w:t>
      </w:r>
    </w:p>
    <w:p w14:paraId="1D5354FD" w14:textId="77777777" w:rsidR="00A80EF3" w:rsidRDefault="00A80EF3" w:rsidP="00A80EF3">
      <w:pPr>
        <w:pStyle w:val="Heading2"/>
      </w:pPr>
      <w:r>
        <w:t>Discussion and Future Directions</w:t>
      </w:r>
    </w:p>
    <w:p w14:paraId="20F03A30" w14:textId="77777777" w:rsidR="00A80EF3" w:rsidRPr="00092691" w:rsidRDefault="00A80EF3" w:rsidP="00A80EF3">
      <w:r>
        <w:t xml:space="preserve">In this chapter, I have built off the work first done by Melnikov et al. and applied DPCA to stationary monitor hourly averages of 9 different variables in the Houston area. In doing so, I illustrate that DPCA is superior to a static PCA because it allows the user to see temporal variations in their derived components which would not be apparent in a static assessment alone. This would allow the user to ask more interesting questions about temporal variations in their data instead of being left in the dark. </w:t>
      </w:r>
    </w:p>
    <w:p w14:paraId="3AF519D5" w14:textId="77777777" w:rsidR="00A80EF3" w:rsidRDefault="00A80EF3" w:rsidP="00A80EF3">
      <w:r>
        <w:t>I briefly compare performance of these dynamic components to static assessments of the past,</w:t>
      </w:r>
      <w:r>
        <w:fldChar w:fldCharType="begin"/>
      </w:r>
      <w:r>
        <w:instrText xml:space="preserve"> ADDIN ZOTERO_ITEM CSL_CITATION {"citationID":"dS2O17Ng","properties":{"formattedCitation":"\\super 35,44\\nosupersub{}","plainCitation":"35,44","noteIndex":0},"citationItems":[{"id":622,"uris":["http://zotero.org/users/4282478/items/4P5GNNHL"],"uri":["http://zotero.org/users/4282478/items/4P5GNNHL"],"itemData":{"id":622,"type":"article-journal","abstract":"Data on the concentrations of seven environmental pollutants (CH4, NMHC, CO, CO2, NO, NO2 and SO2) and meteorological variables (wind speed and direction, air temperature, relative humidity and solar radiation) were employed to predict the concentration of ozone in the atmosphere using both multiple linear and principal component regression methods. Separate analyses were carried out for day light and night time periods. For both periods the pollutants were highly correlated, but were all negatively correlated with ozone. Multiple regression analysis was used to fit the ozone data using the pollutant and meteorological variables as predictors. A variable selection method based on high loadings of varimax rotated principal components was used to obtain subsets of the predictor variables to be included in the regression model of the logarithm of the ozone data. It was found that while high temperature and high solar energy tended to increase the day time ozone concentrations, the pollutants NO and SO2 being emitted to the atmosphere were being depleted. Night time ozone concentrations were influenced predominantly by the nitrogen oxides (NO+NO2), with the meteorological variables playing no significant role. However, the model did not predict the night time ozone concentrations as accurately as it did for the day time. This could be due to other factors that were not explicitly considered in this study.","container-title":"Environmental Modelling &amp; Software","DOI":"10.1016/j.envsoft.2004.09.001","ISSN":"1364-8152","issue":"10","journalAbbreviation":"Environmental Modelling &amp; Software","language":"en","page":"1263-1271","source":"ScienceDirect","title":"Principal component and multiple regression analysis in modelling of ground-level ozone and factors affecting its concentrations","volume":"20","author":[{"family":"Abdul-Wahab","given":"Sabah A."},{"family":"Bakheit","given":"Charles S."},{"family":"Al-Alawi","given":"Saleh M."}],"issued":{"date-parts":[["2005",10,1]]}}},{"id":633,"uris":["http://zotero.org/users/4282478/items/G99V42I5"],"uri":["http://zotero.org/users/4282478/items/G99V42I5"],"itemData":{"id":633,"type":"article-journal","abstract":"Five years data on CO, NO, NO2, O3, smoke and SO2 concentrations recorded at oneair-pollution monitoring station in the city of Athens were analysed using principal component analysis(PCA). Separate analyses were undertaken for summer and winter periods. PCA was also applied tometeorological data concerning relative humidity, temperature, sunshine duration, wind velocity and winddirection. It was found that the main principal components extracted from the air pollution data wererelated to gasoline combustion, oil combustion and ozone interactions. The most prominent principalcomponents from the meteorological data were related to dry conditions (summer period) and high-speedsothwestern winds (for both periods). Finally, canonical correlation analysis determined relationshipsbetween the two different data sets. The main relationship was between total pollution and high humidity incombination with the low-velocity wind.","container-title":"Atmospheric Environment","DOI":"10.1016/S1352-2310(97)00377-4","ISSN":"1352-2310","issue":"6","journalAbbreviation":"Atmospheric Environment","language":"en","page":"1087-1095","source":"ScienceDirect","title":"Principal component and canonical correlation analysis for examining air pollution and meteorological data","volume":"32","author":[{"family":"Statheropoulos","given":"M"},{"family":"Vassiliadis","given":"N"},{"family":"Pappa","given":"A"}],"issued":{"date-parts":[["1998",3,1]]}}}],"schema":"https://github.com/citation-style-language/schema/raw/master/csl-citation.json"} </w:instrText>
      </w:r>
      <w:r>
        <w:fldChar w:fldCharType="separate"/>
      </w:r>
      <w:r w:rsidRPr="00162789">
        <w:rPr>
          <w:rFonts w:ascii="Cambria" w:hAnsi="Cambria" w:cs="Times New Roman"/>
          <w:szCs w:val="24"/>
          <w:vertAlign w:val="superscript"/>
        </w:rPr>
        <w:t>35,44</w:t>
      </w:r>
      <w:r>
        <w:fldChar w:fldCharType="end"/>
      </w:r>
      <w:r>
        <w:t xml:space="preserve"> as was done in Melnikov et al., for the updated data set. In short, I calculate the overall </w:t>
      </w:r>
      <w:r>
        <w:lastRenderedPageBreak/>
        <w:t xml:space="preserve">average </w:t>
      </w:r>
      <m:oMath>
        <m:sSub>
          <m:sSubPr>
            <m:ctrlPr>
              <w:rPr>
                <w:rFonts w:ascii="Cambria Math" w:hAnsi="Cambria Math"/>
                <w:i/>
              </w:rPr>
            </m:ctrlPr>
          </m:sSubPr>
          <m:e>
            <m:bar>
              <m:barPr>
                <m:pos m:val="top"/>
                <m:ctrlPr>
                  <w:rPr>
                    <w:rFonts w:ascii="Cambria Math" w:hAnsi="Cambria Math"/>
                  </w:rPr>
                </m:ctrlPr>
              </m:barPr>
              <m:e>
                <m:bar>
                  <m:barPr>
                    <m:pos m:val="top"/>
                    <m:ctrlPr>
                      <w:rPr>
                        <w:rFonts w:ascii="Cambria Math" w:hAnsi="Cambria Math"/>
                      </w:rPr>
                    </m:ctrlPr>
                  </m:barPr>
                  <m:e>
                    <m:r>
                      <m:rPr>
                        <m:nor/>
                      </m:rPr>
                      <w:rPr>
                        <w:rFonts w:ascii="Cambria Math" w:hAnsi="Cambria Math"/>
                      </w:rPr>
                      <m:t>EV</m:t>
                    </m:r>
                  </m:e>
                </m:bar>
              </m:e>
            </m:bar>
          </m:e>
          <m:sub>
            <m:r>
              <w:rPr>
                <w:rFonts w:ascii="Cambria Math" w:hAnsi="Cambria Math"/>
              </w:rPr>
              <m:t>1</m:t>
            </m:r>
          </m:sub>
        </m:sSub>
      </m:oMath>
      <w:r>
        <w:rPr>
          <w:rFonts w:eastAsiaTheme="minorEastAsia"/>
        </w:rPr>
        <w:t xml:space="preserve"> (averaged across all hours and days, or the average of all entries in </w:t>
      </w:r>
      <w:r>
        <w:rPr>
          <w:rFonts w:eastAsiaTheme="minorEastAsia"/>
        </w:rPr>
        <w:fldChar w:fldCharType="begin"/>
      </w:r>
      <w:r>
        <w:rPr>
          <w:rFonts w:eastAsiaTheme="minorEastAsia"/>
        </w:rPr>
        <w:instrText xml:space="preserve"> REF _Ref95127556 \h </w:instrText>
      </w:r>
      <w:r>
        <w:rPr>
          <w:rFonts w:eastAsiaTheme="minorEastAsia"/>
        </w:rPr>
      </w:r>
      <w:r>
        <w:rPr>
          <w:rFonts w:eastAsiaTheme="minorEastAsia"/>
        </w:rPr>
        <w:fldChar w:fldCharType="separate"/>
      </w:r>
      <w:r>
        <w:t xml:space="preserve">Figure </w:t>
      </w:r>
      <w:r>
        <w:rPr>
          <w:noProof/>
        </w:rPr>
        <w:t>4</w:t>
      </w:r>
      <w:r>
        <w:rPr>
          <w:rFonts w:eastAsiaTheme="minorEastAsia"/>
        </w:rPr>
        <w:fldChar w:fldCharType="end"/>
      </w:r>
      <w:r>
        <w:rPr>
          <w:rFonts w:eastAsiaTheme="minorEastAsia"/>
        </w:rPr>
        <w:t>)</w:t>
      </w:r>
      <w:r>
        <w:t xml:space="preserve"> and the </w:t>
      </w:r>
      <w:r>
        <w:rPr>
          <w:rFonts w:eastAsiaTheme="minorEastAsia"/>
        </w:rPr>
        <w:t xml:space="preserve">overall average of </w:t>
      </w:r>
      <m:oMath>
        <m:sSub>
          <m:sSubPr>
            <m:ctrlPr>
              <w:rPr>
                <w:rFonts w:ascii="Cambria Math" w:hAnsi="Cambria Math"/>
                <w:i/>
              </w:rPr>
            </m:ctrlPr>
          </m:sSubPr>
          <m:e>
            <m:bar>
              <m:barPr>
                <m:pos m:val="top"/>
                <m:ctrlPr>
                  <w:rPr>
                    <w:rFonts w:ascii="Cambria Math" w:hAnsi="Cambria Math"/>
                  </w:rPr>
                </m:ctrlPr>
              </m:barPr>
              <m:e>
                <m:bar>
                  <m:barPr>
                    <m:pos m:val="top"/>
                    <m:ctrlPr>
                      <w:rPr>
                        <w:rFonts w:ascii="Cambria Math" w:hAnsi="Cambria Math"/>
                      </w:rPr>
                    </m:ctrlPr>
                  </m:barPr>
                  <m:e>
                    <m:r>
                      <m:rPr>
                        <m:nor/>
                      </m:rPr>
                      <w:rPr>
                        <w:rFonts w:ascii="Cambria Math" w:hAnsi="Cambria Math"/>
                      </w:rPr>
                      <m:t>CEV</m:t>
                    </m:r>
                  </m:e>
                </m:bar>
              </m:e>
            </m:bar>
          </m:e>
          <m:sub>
            <m:r>
              <w:rPr>
                <w:rFonts w:ascii="Cambria Math" w:hAnsi="Cambria Math"/>
              </w:rPr>
              <m:t>2</m:t>
            </m:r>
          </m:sub>
        </m:sSub>
      </m:oMath>
      <w:r>
        <w:rPr>
          <w:rFonts w:eastAsiaTheme="minorEastAsia"/>
        </w:rPr>
        <w:t xml:space="preserve"> and compare these values to the </w:t>
      </w:r>
      <m:oMath>
        <m:sSub>
          <m:sSubPr>
            <m:ctrlPr>
              <w:rPr>
                <w:rFonts w:ascii="Cambria Math" w:eastAsiaTheme="minorEastAsia" w:hAnsi="Cambria Math"/>
                <w:i/>
              </w:rPr>
            </m:ctrlPr>
          </m:sSubPr>
          <m:e>
            <m:r>
              <m:rPr>
                <m:nor/>
              </m:rPr>
              <w:rPr>
                <w:rFonts w:ascii="Cambria Math" w:eastAsiaTheme="minorEastAsia" w:hAnsi="Cambria Math"/>
              </w:rPr>
              <m:t>EV</m:t>
            </m:r>
            <m:ctrlPr>
              <w:rPr>
                <w:rFonts w:ascii="Cambria Math" w:eastAsiaTheme="minorEastAsia" w:hAnsi="Cambria Math"/>
              </w:rPr>
            </m:ctrlP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m:rPr>
                <m:nor/>
              </m:rPr>
              <w:rPr>
                <w:rFonts w:ascii="Cambria Math" w:eastAsiaTheme="minorEastAsia" w:hAnsi="Cambria Math"/>
              </w:rPr>
              <m:t>CEV</m:t>
            </m:r>
            <m:ctrlPr>
              <w:rPr>
                <w:rFonts w:ascii="Cambria Math" w:eastAsiaTheme="minorEastAsia" w:hAnsi="Cambria Math"/>
              </w:rPr>
            </m:ctrlPr>
          </m:e>
          <m:sub>
            <m:r>
              <w:rPr>
                <w:rFonts w:ascii="Cambria Math" w:eastAsiaTheme="minorEastAsia" w:hAnsi="Cambria Math"/>
              </w:rPr>
              <m:t>2</m:t>
            </m:r>
          </m:sub>
        </m:sSub>
      </m:oMath>
      <w:r>
        <w:rPr>
          <w:rFonts w:eastAsiaTheme="minorEastAsia"/>
        </w:rPr>
        <w:t xml:space="preserve"> of the static assessment strategies described in Statheropolous et al. and Abdul-Wahab et al. applied on our Houston dataset. These values are provided in </w:t>
      </w:r>
      <w:r>
        <w:rPr>
          <w:rFonts w:eastAsiaTheme="minorEastAsia"/>
        </w:rPr>
        <w:fldChar w:fldCharType="begin"/>
      </w:r>
      <w:r>
        <w:rPr>
          <w:rFonts w:eastAsiaTheme="minorEastAsia"/>
        </w:rPr>
        <w:instrText xml:space="preserve"> REF _Ref95492509 \h </w:instrText>
      </w:r>
      <w:r>
        <w:rPr>
          <w:rFonts w:eastAsiaTheme="minorEastAsia"/>
        </w:rPr>
      </w:r>
      <w:r>
        <w:rPr>
          <w:rFonts w:eastAsiaTheme="minorEastAsia"/>
        </w:rPr>
        <w:fldChar w:fldCharType="separate"/>
      </w:r>
      <w:r>
        <w:t xml:space="preserve">Table </w:t>
      </w:r>
      <w:r>
        <w:rPr>
          <w:noProof/>
        </w:rPr>
        <w:t>3</w:t>
      </w:r>
      <w:r>
        <w:rPr>
          <w:rFonts w:eastAsiaTheme="minorEastAsia"/>
        </w:rPr>
        <w:fldChar w:fldCharType="end"/>
      </w:r>
      <w:r>
        <w:rPr>
          <w:rFonts w:eastAsiaTheme="minorEastAsia"/>
        </w:rPr>
        <w:t>.</w:t>
      </w:r>
    </w:p>
    <w:tbl>
      <w:tblPr>
        <w:tblStyle w:val="PlainTable5"/>
        <w:tblW w:w="0" w:type="auto"/>
        <w:tblLook w:val="04A0" w:firstRow="1" w:lastRow="0" w:firstColumn="1" w:lastColumn="0" w:noHBand="0" w:noVBand="1"/>
      </w:tblPr>
      <w:tblGrid>
        <w:gridCol w:w="2876"/>
        <w:gridCol w:w="2877"/>
        <w:gridCol w:w="2877"/>
      </w:tblGrid>
      <w:tr w:rsidR="00A80EF3" w14:paraId="24B213B1" w14:textId="77777777" w:rsidTr="005F3A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6" w:type="dxa"/>
          </w:tcPr>
          <w:p w14:paraId="67ECC469" w14:textId="77777777" w:rsidR="00A80EF3" w:rsidRDefault="00A80EF3" w:rsidP="005F3A94">
            <w:pPr>
              <w:ind w:firstLine="0"/>
            </w:pPr>
          </w:p>
        </w:tc>
        <w:tc>
          <w:tcPr>
            <w:tcW w:w="2877" w:type="dxa"/>
          </w:tcPr>
          <w:p w14:paraId="0137EDA7" w14:textId="77777777" w:rsidR="00A80EF3"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E</m:t>
                </m:r>
                <m:sSub>
                  <m:sSubPr>
                    <m:ctrlPr>
                      <w:rPr>
                        <w:rFonts w:ascii="Cambria Math" w:hAnsi="Cambria Math"/>
                        <w:i w:val="0"/>
                      </w:rPr>
                    </m:ctrlPr>
                  </m:sSubPr>
                  <m:e>
                    <m:r>
                      <w:rPr>
                        <w:rFonts w:ascii="Cambria Math" w:hAnsi="Cambria Math"/>
                      </w:rPr>
                      <m:t>V</m:t>
                    </m:r>
                  </m:e>
                  <m:sub>
                    <m:r>
                      <w:rPr>
                        <w:rFonts w:ascii="Cambria Math" w:hAnsi="Cambria Math"/>
                      </w:rPr>
                      <m:t>1</m:t>
                    </m:r>
                  </m:sub>
                </m:sSub>
              </m:oMath>
            </m:oMathPara>
          </w:p>
        </w:tc>
        <w:tc>
          <w:tcPr>
            <w:tcW w:w="2877" w:type="dxa"/>
          </w:tcPr>
          <w:p w14:paraId="59A4DCA9" w14:textId="77777777" w:rsidR="00A80EF3" w:rsidRDefault="00A80EF3" w:rsidP="005F3A94">
            <w:pPr>
              <w:ind w:firstLine="0"/>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CE</m:t>
                </m:r>
                <m:sSub>
                  <m:sSubPr>
                    <m:ctrlPr>
                      <w:rPr>
                        <w:rFonts w:ascii="Cambria Math" w:hAnsi="Cambria Math"/>
                        <w:i w:val="0"/>
                      </w:rPr>
                    </m:ctrlPr>
                  </m:sSubPr>
                  <m:e>
                    <m:r>
                      <w:rPr>
                        <w:rFonts w:ascii="Cambria Math" w:hAnsi="Cambria Math"/>
                      </w:rPr>
                      <m:t>V</m:t>
                    </m:r>
                  </m:e>
                  <m:sub>
                    <m:r>
                      <w:rPr>
                        <w:rFonts w:ascii="Cambria Math" w:hAnsi="Cambria Math"/>
                      </w:rPr>
                      <m:t>2</m:t>
                    </m:r>
                  </m:sub>
                </m:sSub>
              </m:oMath>
            </m:oMathPara>
          </w:p>
        </w:tc>
      </w:tr>
      <w:tr w:rsidR="00A80EF3" w14:paraId="317FBA67" w14:textId="77777777" w:rsidTr="005F3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5EAA3980" w14:textId="77777777" w:rsidR="00A80EF3" w:rsidRDefault="00A80EF3" w:rsidP="005F3A94">
            <w:pPr>
              <w:ind w:firstLine="0"/>
            </w:pPr>
            <w:r>
              <w:t>Summer (</w:t>
            </w:r>
            <w:proofErr w:type="spellStart"/>
            <w:r>
              <w:t>Statheropolous</w:t>
            </w:r>
            <w:proofErr w:type="spellEnd"/>
            <w:r>
              <w:t>)</w:t>
            </w:r>
          </w:p>
        </w:tc>
        <w:tc>
          <w:tcPr>
            <w:tcW w:w="2877" w:type="dxa"/>
          </w:tcPr>
          <w:p w14:paraId="436CD94A" w14:textId="77777777" w:rsidR="00A80EF3" w:rsidRDefault="00A80EF3" w:rsidP="005F3A94">
            <w:pPr>
              <w:ind w:firstLine="0"/>
              <w:jc w:val="center"/>
              <w:cnfStyle w:val="000000100000" w:firstRow="0" w:lastRow="0" w:firstColumn="0" w:lastColumn="0" w:oddVBand="0" w:evenVBand="0" w:oddHBand="1" w:evenHBand="0" w:firstRowFirstColumn="0" w:firstRowLastColumn="0" w:lastRowFirstColumn="0" w:lastRowLastColumn="0"/>
            </w:pPr>
            <w:r>
              <w:t>0.50</w:t>
            </w:r>
          </w:p>
        </w:tc>
        <w:tc>
          <w:tcPr>
            <w:tcW w:w="2877" w:type="dxa"/>
          </w:tcPr>
          <w:p w14:paraId="41D8B40A" w14:textId="77777777" w:rsidR="00A80EF3" w:rsidRDefault="00A80EF3" w:rsidP="005F3A94">
            <w:pPr>
              <w:ind w:firstLine="0"/>
              <w:jc w:val="center"/>
              <w:cnfStyle w:val="000000100000" w:firstRow="0" w:lastRow="0" w:firstColumn="0" w:lastColumn="0" w:oddVBand="0" w:evenVBand="0" w:oddHBand="1" w:evenHBand="0" w:firstRowFirstColumn="0" w:firstRowLastColumn="0" w:lastRowFirstColumn="0" w:lastRowLastColumn="0"/>
            </w:pPr>
            <w:r>
              <w:t>0.71</w:t>
            </w:r>
          </w:p>
        </w:tc>
      </w:tr>
      <w:tr w:rsidR="00A80EF3" w14:paraId="22B72F5B" w14:textId="77777777" w:rsidTr="005F3A94">
        <w:tc>
          <w:tcPr>
            <w:cnfStyle w:val="001000000000" w:firstRow="0" w:lastRow="0" w:firstColumn="1" w:lastColumn="0" w:oddVBand="0" w:evenVBand="0" w:oddHBand="0" w:evenHBand="0" w:firstRowFirstColumn="0" w:firstRowLastColumn="0" w:lastRowFirstColumn="0" w:lastRowLastColumn="0"/>
            <w:tcW w:w="2876" w:type="dxa"/>
          </w:tcPr>
          <w:p w14:paraId="0C1EC1EF" w14:textId="77777777" w:rsidR="00A80EF3" w:rsidRDefault="00A80EF3" w:rsidP="005F3A94">
            <w:pPr>
              <w:ind w:firstLine="0"/>
            </w:pPr>
            <w:r>
              <w:t>Winter (</w:t>
            </w:r>
            <w:proofErr w:type="spellStart"/>
            <w:r>
              <w:t>Statheropolous</w:t>
            </w:r>
            <w:proofErr w:type="spellEnd"/>
            <w:r>
              <w:t>)</w:t>
            </w:r>
          </w:p>
        </w:tc>
        <w:tc>
          <w:tcPr>
            <w:tcW w:w="2877" w:type="dxa"/>
          </w:tcPr>
          <w:p w14:paraId="1302B05D" w14:textId="77777777" w:rsidR="00A80EF3" w:rsidRDefault="00A80EF3" w:rsidP="005F3A94">
            <w:pPr>
              <w:ind w:firstLine="0"/>
              <w:jc w:val="center"/>
              <w:cnfStyle w:val="000000000000" w:firstRow="0" w:lastRow="0" w:firstColumn="0" w:lastColumn="0" w:oddVBand="0" w:evenVBand="0" w:oddHBand="0" w:evenHBand="0" w:firstRowFirstColumn="0" w:firstRowLastColumn="0" w:lastRowFirstColumn="0" w:lastRowLastColumn="0"/>
            </w:pPr>
            <w:r>
              <w:t>0.47</w:t>
            </w:r>
          </w:p>
        </w:tc>
        <w:tc>
          <w:tcPr>
            <w:tcW w:w="2877" w:type="dxa"/>
          </w:tcPr>
          <w:p w14:paraId="69349EA6" w14:textId="77777777" w:rsidR="00A80EF3" w:rsidRDefault="00A80EF3" w:rsidP="005F3A94">
            <w:pPr>
              <w:ind w:firstLine="0"/>
              <w:jc w:val="center"/>
              <w:cnfStyle w:val="000000000000" w:firstRow="0" w:lastRow="0" w:firstColumn="0" w:lastColumn="0" w:oddVBand="0" w:evenVBand="0" w:oddHBand="0" w:evenHBand="0" w:firstRowFirstColumn="0" w:firstRowLastColumn="0" w:lastRowFirstColumn="0" w:lastRowLastColumn="0"/>
            </w:pPr>
            <w:r>
              <w:t>0.65</w:t>
            </w:r>
          </w:p>
        </w:tc>
      </w:tr>
      <w:tr w:rsidR="00A80EF3" w14:paraId="766F37E2" w14:textId="77777777" w:rsidTr="005F3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68A082DC" w14:textId="77777777" w:rsidR="00A80EF3" w:rsidRDefault="00A80EF3" w:rsidP="005F3A94">
            <w:pPr>
              <w:ind w:firstLine="0"/>
            </w:pPr>
            <w:r>
              <w:t>Daytime (Abdul-Wahab)</w:t>
            </w:r>
          </w:p>
        </w:tc>
        <w:tc>
          <w:tcPr>
            <w:tcW w:w="2877" w:type="dxa"/>
          </w:tcPr>
          <w:p w14:paraId="70C912BA" w14:textId="77777777" w:rsidR="00A80EF3" w:rsidRDefault="00A80EF3" w:rsidP="005F3A94">
            <w:pPr>
              <w:ind w:firstLine="0"/>
              <w:jc w:val="center"/>
              <w:cnfStyle w:val="000000100000" w:firstRow="0" w:lastRow="0" w:firstColumn="0" w:lastColumn="0" w:oddVBand="0" w:evenVBand="0" w:oddHBand="1" w:evenHBand="0" w:firstRowFirstColumn="0" w:firstRowLastColumn="0" w:lastRowFirstColumn="0" w:lastRowLastColumn="0"/>
            </w:pPr>
            <w:r>
              <w:t>0.34</w:t>
            </w:r>
          </w:p>
        </w:tc>
        <w:tc>
          <w:tcPr>
            <w:tcW w:w="2877" w:type="dxa"/>
          </w:tcPr>
          <w:p w14:paraId="6CE05D7B" w14:textId="77777777" w:rsidR="00A80EF3" w:rsidRDefault="00A80EF3" w:rsidP="005F3A94">
            <w:pPr>
              <w:ind w:firstLine="0"/>
              <w:jc w:val="center"/>
              <w:cnfStyle w:val="000000100000" w:firstRow="0" w:lastRow="0" w:firstColumn="0" w:lastColumn="0" w:oddVBand="0" w:evenVBand="0" w:oddHBand="1" w:evenHBand="0" w:firstRowFirstColumn="0" w:firstRowLastColumn="0" w:lastRowFirstColumn="0" w:lastRowLastColumn="0"/>
            </w:pPr>
            <w:r>
              <w:t>0.53</w:t>
            </w:r>
          </w:p>
        </w:tc>
      </w:tr>
      <w:tr w:rsidR="00A80EF3" w14:paraId="380FFE1E" w14:textId="77777777" w:rsidTr="005F3A94">
        <w:tc>
          <w:tcPr>
            <w:cnfStyle w:val="001000000000" w:firstRow="0" w:lastRow="0" w:firstColumn="1" w:lastColumn="0" w:oddVBand="0" w:evenVBand="0" w:oddHBand="0" w:evenHBand="0" w:firstRowFirstColumn="0" w:firstRowLastColumn="0" w:lastRowFirstColumn="0" w:lastRowLastColumn="0"/>
            <w:tcW w:w="2876" w:type="dxa"/>
          </w:tcPr>
          <w:p w14:paraId="23BFD137" w14:textId="77777777" w:rsidR="00A80EF3" w:rsidRDefault="00A80EF3" w:rsidP="005F3A94">
            <w:pPr>
              <w:ind w:firstLine="0"/>
            </w:pPr>
            <w:r>
              <w:t>Nighttime (Abdul-Wahab)</w:t>
            </w:r>
          </w:p>
        </w:tc>
        <w:tc>
          <w:tcPr>
            <w:tcW w:w="2877" w:type="dxa"/>
          </w:tcPr>
          <w:p w14:paraId="10C9E50E" w14:textId="77777777" w:rsidR="00A80EF3" w:rsidRDefault="00A80EF3" w:rsidP="005F3A94">
            <w:pPr>
              <w:ind w:firstLine="0"/>
              <w:jc w:val="center"/>
              <w:cnfStyle w:val="000000000000" w:firstRow="0" w:lastRow="0" w:firstColumn="0" w:lastColumn="0" w:oddVBand="0" w:evenVBand="0" w:oddHBand="0" w:evenHBand="0" w:firstRowFirstColumn="0" w:firstRowLastColumn="0" w:lastRowFirstColumn="0" w:lastRowLastColumn="0"/>
            </w:pPr>
            <w:r>
              <w:t>0.37</w:t>
            </w:r>
          </w:p>
        </w:tc>
        <w:tc>
          <w:tcPr>
            <w:tcW w:w="2877" w:type="dxa"/>
          </w:tcPr>
          <w:p w14:paraId="2C64F4CC" w14:textId="77777777" w:rsidR="00A80EF3" w:rsidRDefault="00A80EF3" w:rsidP="005F3A94">
            <w:pPr>
              <w:ind w:firstLine="0"/>
              <w:jc w:val="center"/>
              <w:cnfStyle w:val="000000000000" w:firstRow="0" w:lastRow="0" w:firstColumn="0" w:lastColumn="0" w:oddVBand="0" w:evenVBand="0" w:oddHBand="0" w:evenHBand="0" w:firstRowFirstColumn="0" w:firstRowLastColumn="0" w:lastRowFirstColumn="0" w:lastRowLastColumn="0"/>
            </w:pPr>
            <w:r>
              <w:t>0.57</w:t>
            </w:r>
          </w:p>
        </w:tc>
      </w:tr>
      <w:tr w:rsidR="00A80EF3" w14:paraId="7233DF43" w14:textId="77777777" w:rsidTr="005F3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58948DBA" w14:textId="77777777" w:rsidR="00A80EF3" w:rsidRDefault="00A80EF3" w:rsidP="005F3A94">
            <w:pPr>
              <w:ind w:firstLine="0"/>
            </w:pPr>
            <w:r>
              <w:t>This study (</w:t>
            </w:r>
            <m:oMath>
              <m:sSub>
                <m:sSubPr>
                  <m:ctrlPr>
                    <w:rPr>
                      <w:rFonts w:ascii="Cambria Math" w:hAnsi="Cambria Math"/>
                      <w:i w:val="0"/>
                      <w:iCs w:val="0"/>
                    </w:rPr>
                  </m:ctrlPr>
                </m:sSubPr>
                <m:e>
                  <m:bar>
                    <m:barPr>
                      <m:pos m:val="top"/>
                      <m:ctrlPr>
                        <w:rPr>
                          <w:rFonts w:ascii="Cambria Math" w:hAnsi="Cambria Math"/>
                          <w:iCs w:val="0"/>
                        </w:rPr>
                      </m:ctrlPr>
                    </m:barPr>
                    <m:e>
                      <m:bar>
                        <m:barPr>
                          <m:pos m:val="top"/>
                          <m:ctrlPr>
                            <w:rPr>
                              <w:rFonts w:ascii="Cambria Math" w:hAnsi="Cambria Math"/>
                              <w:iCs w:val="0"/>
                            </w:rPr>
                          </m:ctrlPr>
                        </m:barPr>
                        <m:e>
                          <m:r>
                            <w:rPr>
                              <w:rFonts w:ascii="Cambria Math" w:hAnsi="Cambria Math"/>
                            </w:rPr>
                            <m:t>EV</m:t>
                          </m:r>
                        </m:e>
                      </m:bar>
                    </m:e>
                  </m:bar>
                  <m:ctrlPr>
                    <w:rPr>
                      <w:rFonts w:ascii="Cambria Math" w:hAnsi="Cambria Math"/>
                    </w:rPr>
                  </m:ctrlPr>
                </m:e>
                <m:sub>
                  <m:r>
                    <w:rPr>
                      <w:rFonts w:ascii="Cambria Math" w:hAnsi="Cambria Math"/>
                    </w:rPr>
                    <m:t>1</m:t>
                  </m:r>
                </m:sub>
              </m:sSub>
            </m:oMath>
            <w:r>
              <w:rPr>
                <w:iCs w:val="0"/>
              </w:rPr>
              <w:t xml:space="preserve"> , </w:t>
            </w:r>
            <m:oMath>
              <m:sSub>
                <m:sSubPr>
                  <m:ctrlPr>
                    <w:rPr>
                      <w:rFonts w:ascii="Cambria Math" w:hAnsi="Cambria Math"/>
                      <w:i w:val="0"/>
                      <w:iCs w:val="0"/>
                    </w:rPr>
                  </m:ctrlPr>
                </m:sSubPr>
                <m:e>
                  <m:bar>
                    <m:barPr>
                      <m:pos m:val="top"/>
                      <m:ctrlPr>
                        <w:rPr>
                          <w:rFonts w:ascii="Cambria Math" w:hAnsi="Cambria Math"/>
                          <w:iCs w:val="0"/>
                        </w:rPr>
                      </m:ctrlPr>
                    </m:barPr>
                    <m:e>
                      <m:bar>
                        <m:barPr>
                          <m:pos m:val="top"/>
                          <m:ctrlPr>
                            <w:rPr>
                              <w:rFonts w:ascii="Cambria Math" w:hAnsi="Cambria Math"/>
                              <w:iCs w:val="0"/>
                            </w:rPr>
                          </m:ctrlPr>
                        </m:barPr>
                        <m:e>
                          <m:r>
                            <w:rPr>
                              <w:rFonts w:ascii="Cambria Math" w:hAnsi="Cambria Math"/>
                            </w:rPr>
                            <m:t>CEV</m:t>
                          </m:r>
                        </m:e>
                      </m:bar>
                    </m:e>
                  </m:bar>
                  <m:ctrlPr>
                    <w:rPr>
                      <w:rFonts w:ascii="Cambria Math" w:hAnsi="Cambria Math"/>
                    </w:rPr>
                  </m:ctrlPr>
                </m:e>
                <m:sub>
                  <m:r>
                    <w:rPr>
                      <w:rFonts w:ascii="Cambria Math" w:hAnsi="Cambria Math"/>
                    </w:rPr>
                    <m:t>1</m:t>
                  </m:r>
                </m:sub>
              </m:sSub>
            </m:oMath>
            <w:r>
              <w:rPr>
                <w:iCs w:val="0"/>
              </w:rPr>
              <w:t>)</w:t>
            </w:r>
            <w:r>
              <w:t xml:space="preserve"> </w:t>
            </w:r>
          </w:p>
        </w:tc>
        <w:tc>
          <w:tcPr>
            <w:tcW w:w="2877" w:type="dxa"/>
          </w:tcPr>
          <w:p w14:paraId="560E07B0" w14:textId="77777777" w:rsidR="00A80EF3" w:rsidRDefault="00A80EF3" w:rsidP="005F3A94">
            <w:pPr>
              <w:ind w:firstLine="0"/>
              <w:jc w:val="center"/>
              <w:cnfStyle w:val="000000100000" w:firstRow="0" w:lastRow="0" w:firstColumn="0" w:lastColumn="0" w:oddVBand="0" w:evenVBand="0" w:oddHBand="1" w:evenHBand="0" w:firstRowFirstColumn="0" w:firstRowLastColumn="0" w:lastRowFirstColumn="0" w:lastRowLastColumn="0"/>
            </w:pPr>
            <w:r>
              <w:t>0.38</w:t>
            </w:r>
          </w:p>
        </w:tc>
        <w:tc>
          <w:tcPr>
            <w:tcW w:w="2877" w:type="dxa"/>
          </w:tcPr>
          <w:p w14:paraId="7349D316" w14:textId="77777777" w:rsidR="00A80EF3" w:rsidRDefault="00A80EF3" w:rsidP="005F3A94">
            <w:pPr>
              <w:ind w:firstLine="0"/>
              <w:jc w:val="center"/>
              <w:cnfStyle w:val="000000100000" w:firstRow="0" w:lastRow="0" w:firstColumn="0" w:lastColumn="0" w:oddVBand="0" w:evenVBand="0" w:oddHBand="1" w:evenHBand="0" w:firstRowFirstColumn="0" w:firstRowLastColumn="0" w:lastRowFirstColumn="0" w:lastRowLastColumn="0"/>
            </w:pPr>
            <w:r>
              <w:t>0.60</w:t>
            </w:r>
          </w:p>
        </w:tc>
      </w:tr>
    </w:tbl>
    <w:p w14:paraId="4B08F950" w14:textId="77777777" w:rsidR="00A80EF3" w:rsidRPr="00987E99" w:rsidRDefault="00A80EF3" w:rsidP="00A80EF3">
      <w:pPr>
        <w:pStyle w:val="Caption"/>
        <w:rPr>
          <w:lang w:val="en-US"/>
        </w:rPr>
      </w:pPr>
      <w:bookmarkStart w:id="16" w:name="_Ref95492509"/>
      <w:r>
        <w:t xml:space="preserve">Table </w:t>
      </w:r>
      <w:r>
        <w:fldChar w:fldCharType="begin"/>
      </w:r>
      <w:r>
        <w:instrText xml:space="preserve"> SEQ Table \* ARABIC </w:instrText>
      </w:r>
      <w:r>
        <w:fldChar w:fldCharType="separate"/>
      </w:r>
      <w:r>
        <w:t>3</w:t>
      </w:r>
      <w:r>
        <w:fldChar w:fldCharType="end"/>
      </w:r>
      <w:bookmarkEnd w:id="16"/>
      <w:r>
        <w:t>.</w:t>
      </w:r>
      <w:r w:rsidRPr="00987E99">
        <w:t xml:space="preserve"> </w:t>
      </w:r>
      <w:r w:rsidRPr="00987E99">
        <w:rPr>
          <w:lang w:val="en-US"/>
        </w:rPr>
        <w:t>Results from published methods Abdul-Wahab et al. and Statheropoulous applied to the same log-transformed dataset for comparison</w:t>
      </w:r>
      <w:r>
        <w:rPr>
          <w:lang w:val="en-US"/>
        </w:rPr>
        <w:t>.</w:t>
      </w:r>
    </w:p>
    <w:p w14:paraId="32514229" w14:textId="77777777" w:rsidR="00A80EF3" w:rsidRDefault="00A80EF3" w:rsidP="00A80EF3">
      <w:pPr>
        <w:pStyle w:val="Caption"/>
      </w:pPr>
    </w:p>
    <w:p w14:paraId="7263FF66" w14:textId="77777777" w:rsidR="00A80EF3" w:rsidRDefault="00A80EF3" w:rsidP="00A80EF3">
      <w:pPr>
        <w:pStyle w:val="Caption"/>
      </w:pPr>
      <w:r>
        <w:t xml:space="preserve">  </w:t>
      </w:r>
    </w:p>
    <w:p w14:paraId="0149EA76" w14:textId="77777777" w:rsidR="00A80EF3" w:rsidRDefault="00A80EF3" w:rsidP="00A80EF3"/>
    <w:p w14:paraId="0BB474D5" w14:textId="77777777" w:rsidR="00A80EF3" w:rsidRDefault="00A80EF3" w:rsidP="00A80EF3"/>
    <w:p w14:paraId="24F2B931" w14:textId="77777777" w:rsidR="00A80EF3" w:rsidRPr="00987E99" w:rsidRDefault="00A80EF3" w:rsidP="00A80EF3"/>
    <w:p w14:paraId="0EB7596B" w14:textId="77777777" w:rsidR="00A80EF3" w:rsidRDefault="00A80EF3" w:rsidP="00A80EF3">
      <w:pPr>
        <w:ind w:firstLine="360"/>
        <w:rPr>
          <w:rFonts w:eastAsiaTheme="minorEastAsia"/>
        </w:rPr>
      </w:pPr>
      <w:r>
        <w:lastRenderedPageBreak/>
        <w:t xml:space="preserve">The higher values derived by the </w:t>
      </w:r>
      <w:proofErr w:type="spellStart"/>
      <w:r>
        <w:t>Statheropolous</w:t>
      </w:r>
      <w:proofErr w:type="spellEnd"/>
      <w:r>
        <w:t xml:space="preserve"> technique presented in </w:t>
      </w:r>
      <w:r>
        <w:fldChar w:fldCharType="begin"/>
      </w:r>
      <w:r>
        <w:instrText xml:space="preserve"> REF _Ref95492509 \h </w:instrText>
      </w:r>
      <w:r>
        <w:fldChar w:fldCharType="separate"/>
      </w:r>
      <w:r>
        <w:t xml:space="preserve">Table </w:t>
      </w:r>
      <w:r>
        <w:rPr>
          <w:noProof/>
        </w:rPr>
        <w:t>3</w:t>
      </w:r>
      <w:r>
        <w:fldChar w:fldCharType="end"/>
      </w:r>
      <w:r>
        <w:t xml:space="preserve"> suggest that it has better performance, on average, compared to the DPCA technique. However, it is worth noting that </w:t>
      </w:r>
      <m:oMath>
        <m:sSub>
          <m:sSubPr>
            <m:ctrlPr>
              <w:rPr>
                <w:rFonts w:ascii="Cambria Math" w:hAnsi="Cambria Math"/>
                <w:i/>
              </w:rPr>
            </m:ctrlPr>
          </m:sSubPr>
          <m:e>
            <m:r>
              <m:rPr>
                <m:nor/>
              </m:rPr>
              <w:rPr>
                <w:rFonts w:ascii="Cambria Math" w:hAnsi="Cambria Math"/>
              </w:rPr>
              <m:t>EV</m:t>
            </m:r>
            <m:ctrlPr>
              <w:rPr>
                <w:rFonts w:ascii="Cambria Math" w:hAnsi="Cambria Math"/>
              </w:rPr>
            </m:ctrlPr>
          </m:e>
          <m:sub>
            <m:r>
              <w:rPr>
                <w:rFonts w:ascii="Cambria Math" w:hAnsi="Cambria Math"/>
              </w:rPr>
              <m:t>1</m:t>
            </m:r>
          </m:sub>
        </m:sSub>
      </m:oMath>
      <w:r>
        <w:rPr>
          <w:rFonts w:eastAsiaTheme="minorEastAsia"/>
        </w:rPr>
        <w:t xml:space="preserve"> returned by DPCA is higher for some time periods than the 0.50 returned by the </w:t>
      </w:r>
      <w:proofErr w:type="spellStart"/>
      <w:r>
        <w:rPr>
          <w:rFonts w:eastAsiaTheme="minorEastAsia"/>
        </w:rPr>
        <w:t>Statheropolous</w:t>
      </w:r>
      <w:proofErr w:type="spellEnd"/>
      <w:r>
        <w:rPr>
          <w:rFonts w:eastAsiaTheme="minorEastAsia"/>
        </w:rPr>
        <w:t xml:space="preserve"> technique (range is </w:t>
      </w:r>
      <m:oMath>
        <m:r>
          <m:rPr>
            <m:sty m:val="p"/>
          </m:rPr>
          <w:rPr>
            <w:rFonts w:ascii="Cambria Math" w:eastAsiaTheme="minorEastAsia" w:hAnsi="Cambria Math"/>
          </w:rPr>
          <m:t>≈</m:t>
        </m:r>
        <m:r>
          <w:rPr>
            <w:rFonts w:ascii="Cambria Math" w:hAnsi="Cambria Math"/>
          </w:rPr>
          <m:t xml:space="preserve"> 24%</m:t>
        </m:r>
      </m:oMath>
      <w:r>
        <w:rPr>
          <w:rFonts w:eastAsiaTheme="minorEastAsia"/>
        </w:rPr>
        <w:t xml:space="preserve"> to </w:t>
      </w:r>
      <m:oMath>
        <m:r>
          <m:rPr>
            <m:sty m:val="p"/>
          </m:rPr>
          <w:rPr>
            <w:rFonts w:ascii="Cambria Math" w:eastAsiaTheme="minorEastAsia" w:hAnsi="Cambria Math"/>
          </w:rPr>
          <m:t>≈</m:t>
        </m:r>
        <m:r>
          <w:rPr>
            <w:rFonts w:ascii="Cambria Math" w:eastAsiaTheme="minorEastAsia" w:hAnsi="Cambria Math"/>
          </w:rPr>
          <m:t>59%</m:t>
        </m:r>
      </m:oMath>
      <w:r>
        <w:rPr>
          <w:rFonts w:eastAsiaTheme="minorEastAsia"/>
        </w:rPr>
        <w:t xml:space="preserve">). Additionally, we note that Melnikov et al. consistently derived higher values of </w:t>
      </w:r>
      <m:oMath>
        <m:sSub>
          <m:sSubPr>
            <m:ctrlPr>
              <w:rPr>
                <w:rFonts w:ascii="Cambria Math" w:eastAsiaTheme="minorEastAsia" w:hAnsi="Cambria Math"/>
                <w:i/>
              </w:rPr>
            </m:ctrlPr>
          </m:sSubPr>
          <m:e>
            <m:r>
              <m:rPr>
                <m:nor/>
              </m:rPr>
              <w:rPr>
                <w:rFonts w:ascii="Cambria Math" w:eastAsiaTheme="minorEastAsia" w:hAnsi="Cambria Math"/>
              </w:rPr>
              <m:t>EV</m:t>
            </m:r>
            <m:ctrlPr>
              <w:rPr>
                <w:rFonts w:ascii="Cambria Math" w:eastAsiaTheme="minorEastAsia" w:hAnsi="Cambria Math"/>
              </w:rPr>
            </m:ctrlPr>
          </m:e>
          <m:sub>
            <m:r>
              <w:rPr>
                <w:rFonts w:ascii="Cambria Math" w:eastAsiaTheme="minorEastAsia" w:hAnsi="Cambria Math"/>
              </w:rPr>
              <m:t>k</m:t>
            </m:r>
          </m:sub>
        </m:sSub>
      </m:oMath>
      <w:r>
        <w:rPr>
          <w:rFonts w:eastAsiaTheme="minorEastAsia"/>
        </w:rPr>
        <w:t xml:space="preserve"> in their work compared with ours. Reasons for this need further exploration.</w:t>
      </w:r>
    </w:p>
    <w:p w14:paraId="2AEE1A14" w14:textId="77777777" w:rsidR="00A80EF3" w:rsidRDefault="00A80EF3" w:rsidP="00A80EF3">
      <w:pPr>
        <w:ind w:firstLine="360"/>
      </w:pPr>
      <w:r>
        <w:t>In this chapter, I show how employing dynamic PCA offers advantages over its static counterpart. In static PCA assessments, assumptions of stationarity are often employed that are not suitable for air quality applications, and temporal dynamics present in air quality data are not often considered. This is evident in the results we present here, in which our dynamic components showed clear temporal trends and that would not have been yielded in a static application. Using a dynamic approach allows researchers to ask interesting questions about atmospheric processes occurring on finer time scales that would otherwise not be apparent in a static application.</w:t>
      </w:r>
    </w:p>
    <w:p w14:paraId="0B6B35F1" w14:textId="77777777" w:rsidR="00A80EF3" w:rsidRDefault="00A80EF3" w:rsidP="00A80EF3">
      <w:pPr>
        <w:ind w:firstLine="360"/>
      </w:pPr>
    </w:p>
    <w:p w14:paraId="3B52D15A" w14:textId="77777777" w:rsidR="004208DC" w:rsidRDefault="004208DC"/>
    <w:sectPr w:rsidR="00420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9F6"/>
    <w:multiLevelType w:val="hybridMultilevel"/>
    <w:tmpl w:val="58C60A4E"/>
    <w:lvl w:ilvl="0" w:tplc="4088E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073E7"/>
    <w:multiLevelType w:val="multilevel"/>
    <w:tmpl w:val="BC9A09E4"/>
    <w:lvl w:ilvl="0">
      <w:start w:val="1"/>
      <w:numFmt w:val="decimal"/>
      <w:pStyle w:val="Heading1"/>
      <w:suff w:val="nothing"/>
      <w:lvlText w:val="Chapter %1"/>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530" w:hanging="360"/>
      </w:pPr>
      <w:rPr>
        <w:rFonts w:hint="default"/>
      </w:rPr>
    </w:lvl>
    <w:lvl w:ilvl="3">
      <w:start w:val="1"/>
      <w:numFmt w:val="decimal"/>
      <w:pStyle w:val="Heading4"/>
      <w:suff w:val="space"/>
      <w:lvlText w:val="%1.%2.%3.%4."/>
      <w:lvlJc w:val="left"/>
      <w:pPr>
        <w:ind w:left="72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64918"/>
    <w:multiLevelType w:val="multilevel"/>
    <w:tmpl w:val="7E424C8E"/>
    <w:lvl w:ilvl="0">
      <w:start w:val="1"/>
      <w:numFmt w:val="bullet"/>
      <w:lvlText w:val=""/>
      <w:lvlJc w:val="left"/>
      <w:pPr>
        <w:ind w:left="360" w:hanging="360"/>
      </w:pPr>
      <w:rPr>
        <w:rFonts w:ascii="Symbol" w:hAnsi="Symbol" w:hint="default"/>
      </w:rPr>
    </w:lvl>
    <w:lvl w:ilvl="1">
      <w:start w:val="1"/>
      <w:numFmt w:val="bullet"/>
      <w:lvlText w:val="o"/>
      <w:lvlJc w:val="left"/>
      <w:pPr>
        <w:tabs>
          <w:tab w:val="num" w:pos="1728"/>
        </w:tabs>
        <w:ind w:left="720" w:hanging="360"/>
      </w:pPr>
      <w:rPr>
        <w:rFonts w:ascii="Courier New" w:hAnsi="Courier New" w:hint="default"/>
      </w:rPr>
    </w:lvl>
    <w:lvl w:ilvl="2">
      <w:start w:val="1"/>
      <w:numFmt w:val="bullet"/>
      <w:lvlText w:val=""/>
      <w:lvlJc w:val="left"/>
      <w:pPr>
        <w:tabs>
          <w:tab w:val="num" w:pos="2520"/>
        </w:tabs>
        <w:ind w:left="10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B032A4A"/>
    <w:multiLevelType w:val="multilevel"/>
    <w:tmpl w:val="713434EE"/>
    <w:lvl w:ilvl="0">
      <w:start w:val="1"/>
      <w:numFmt w:val="decimal"/>
      <w:lvlText w:val="Chapter %1"/>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3E5637"/>
    <w:multiLevelType w:val="hybridMultilevel"/>
    <w:tmpl w:val="BA5CDE96"/>
    <w:lvl w:ilvl="0" w:tplc="627C8946">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A7FAC"/>
    <w:multiLevelType w:val="hybridMultilevel"/>
    <w:tmpl w:val="56C658B8"/>
    <w:lvl w:ilvl="0" w:tplc="1476752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D225EE"/>
    <w:multiLevelType w:val="hybridMultilevel"/>
    <w:tmpl w:val="CE0E8EF2"/>
    <w:lvl w:ilvl="0" w:tplc="8C9001E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42CB0"/>
    <w:multiLevelType w:val="hybridMultilevel"/>
    <w:tmpl w:val="823CB67C"/>
    <w:lvl w:ilvl="0" w:tplc="29668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73343"/>
    <w:multiLevelType w:val="hybridMultilevel"/>
    <w:tmpl w:val="947E4144"/>
    <w:lvl w:ilvl="0" w:tplc="15F24118">
      <w:start w:val="1"/>
      <w:numFmt w:val="decimal"/>
      <w:lvlText w:val="Chapter %1"/>
      <w:lvlJc w:val="left"/>
      <w:pPr>
        <w:ind w:left="9072" w:hanging="72"/>
      </w:pPr>
      <w:rPr>
        <w:rFonts w:hint="default"/>
      </w:rPr>
    </w:lvl>
    <w:lvl w:ilvl="1" w:tplc="04090019" w:tentative="1">
      <w:start w:val="1"/>
      <w:numFmt w:val="lowerLetter"/>
      <w:lvlText w:val="%2."/>
      <w:lvlJc w:val="left"/>
      <w:pPr>
        <w:ind w:left="10152" w:hanging="360"/>
      </w:pPr>
    </w:lvl>
    <w:lvl w:ilvl="2" w:tplc="0409001B" w:tentative="1">
      <w:start w:val="1"/>
      <w:numFmt w:val="lowerRoman"/>
      <w:lvlText w:val="%3."/>
      <w:lvlJc w:val="right"/>
      <w:pPr>
        <w:ind w:left="10872" w:hanging="180"/>
      </w:pPr>
    </w:lvl>
    <w:lvl w:ilvl="3" w:tplc="0409000F" w:tentative="1">
      <w:start w:val="1"/>
      <w:numFmt w:val="decimal"/>
      <w:lvlText w:val="%4."/>
      <w:lvlJc w:val="left"/>
      <w:pPr>
        <w:ind w:left="11592" w:hanging="360"/>
      </w:pPr>
    </w:lvl>
    <w:lvl w:ilvl="4" w:tplc="04090019" w:tentative="1">
      <w:start w:val="1"/>
      <w:numFmt w:val="lowerLetter"/>
      <w:lvlText w:val="%5."/>
      <w:lvlJc w:val="left"/>
      <w:pPr>
        <w:ind w:left="12312" w:hanging="360"/>
      </w:pPr>
    </w:lvl>
    <w:lvl w:ilvl="5" w:tplc="0409001B" w:tentative="1">
      <w:start w:val="1"/>
      <w:numFmt w:val="lowerRoman"/>
      <w:lvlText w:val="%6."/>
      <w:lvlJc w:val="right"/>
      <w:pPr>
        <w:ind w:left="13032" w:hanging="180"/>
      </w:pPr>
    </w:lvl>
    <w:lvl w:ilvl="6" w:tplc="0409000F" w:tentative="1">
      <w:start w:val="1"/>
      <w:numFmt w:val="decimal"/>
      <w:lvlText w:val="%7."/>
      <w:lvlJc w:val="left"/>
      <w:pPr>
        <w:ind w:left="13752" w:hanging="360"/>
      </w:pPr>
    </w:lvl>
    <w:lvl w:ilvl="7" w:tplc="04090019" w:tentative="1">
      <w:start w:val="1"/>
      <w:numFmt w:val="lowerLetter"/>
      <w:lvlText w:val="%8."/>
      <w:lvlJc w:val="left"/>
      <w:pPr>
        <w:ind w:left="14472" w:hanging="360"/>
      </w:pPr>
    </w:lvl>
    <w:lvl w:ilvl="8" w:tplc="0409001B" w:tentative="1">
      <w:start w:val="1"/>
      <w:numFmt w:val="lowerRoman"/>
      <w:lvlText w:val="%9."/>
      <w:lvlJc w:val="right"/>
      <w:pPr>
        <w:ind w:left="15192" w:hanging="180"/>
      </w:pPr>
    </w:lvl>
  </w:abstractNum>
  <w:abstractNum w:abstractNumId="9" w15:restartNumberingAfterBreak="0">
    <w:nsid w:val="2920638B"/>
    <w:multiLevelType w:val="hybridMultilevel"/>
    <w:tmpl w:val="59C43674"/>
    <w:lvl w:ilvl="0" w:tplc="512449E0">
      <w:start w:val="1"/>
      <w:numFmt w:val="decimal"/>
      <w:lvlText w:val="Table 2.%1"/>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CFC099F"/>
    <w:multiLevelType w:val="hybridMultilevel"/>
    <w:tmpl w:val="82E03892"/>
    <w:lvl w:ilvl="0" w:tplc="EEBAE49A">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80838D2"/>
    <w:multiLevelType w:val="multilevel"/>
    <w:tmpl w:val="04090029"/>
    <w:lvl w:ilvl="0">
      <w:start w:val="1"/>
      <w:numFmt w:val="decimal"/>
      <w:suff w:val="space"/>
      <w:lvlText w:val="Chapter %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3F8F01B7"/>
    <w:multiLevelType w:val="hybridMultilevel"/>
    <w:tmpl w:val="02FCCCF6"/>
    <w:lvl w:ilvl="0" w:tplc="4C3024B8">
      <w:start w:val="1"/>
      <w:numFmt w:val="decimal"/>
      <w:lvlText w:val="Figure 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0C51397"/>
    <w:multiLevelType w:val="hybridMultilevel"/>
    <w:tmpl w:val="9D8453EC"/>
    <w:lvl w:ilvl="0" w:tplc="22183E26">
      <w:start w:val="1"/>
      <w:numFmt w:val="decimal"/>
      <w:lvlText w:val="Chapter %1"/>
      <w:lvlJc w:val="center"/>
      <w:pPr>
        <w:ind w:left="360"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EA3F35"/>
    <w:multiLevelType w:val="multilevel"/>
    <w:tmpl w:val="C5C6D1A8"/>
    <w:lvl w:ilvl="0">
      <w:start w:val="1"/>
      <w:numFmt w:val="decimal"/>
      <w:suff w:val="space"/>
      <w:lvlText w:val="%1."/>
      <w:lvlJc w:val="left"/>
      <w:pPr>
        <w:ind w:left="720" w:hanging="360"/>
      </w:pPr>
      <w:rPr>
        <w:rFonts w:hint="default"/>
      </w:rPr>
    </w:lvl>
    <w:lvl w:ilvl="1">
      <w:start w:val="1"/>
      <w:numFmt w:val="lowerLetter"/>
      <w:suff w:val="space"/>
      <w:lvlText w:val="%2."/>
      <w:lvlJc w:val="left"/>
      <w:pPr>
        <w:ind w:left="1080" w:hanging="360"/>
      </w:pPr>
      <w:rPr>
        <w:rFonts w:hint="default"/>
      </w:rPr>
    </w:lvl>
    <w:lvl w:ilvl="2">
      <w:start w:val="1"/>
      <w:numFmt w:val="lowerRoman"/>
      <w:suff w:val="space"/>
      <w:lvlText w:val="%3."/>
      <w:lvlJc w:val="left"/>
      <w:pPr>
        <w:ind w:left="1440" w:hanging="360"/>
      </w:pPr>
      <w:rPr>
        <w:rFonts w:hint="default"/>
      </w:rPr>
    </w:lvl>
    <w:lvl w:ilvl="3">
      <w:start w:val="1"/>
      <w:numFmt w:val="decimal"/>
      <w:suff w:val="space"/>
      <w:lvlText w:val="%4."/>
      <w:lvlJc w:val="left"/>
      <w:pPr>
        <w:ind w:left="1800" w:hanging="360"/>
      </w:pPr>
      <w:rPr>
        <w:rFonts w:hint="default"/>
      </w:rPr>
    </w:lvl>
    <w:lvl w:ilvl="4">
      <w:start w:val="1"/>
      <w:numFmt w:val="lowerLetter"/>
      <w:suff w:val="space"/>
      <w:lvlText w:val="%5."/>
      <w:lvlJc w:val="left"/>
      <w:pPr>
        <w:ind w:left="2160" w:hanging="360"/>
      </w:pPr>
      <w:rPr>
        <w:rFonts w:hint="default"/>
      </w:rPr>
    </w:lvl>
    <w:lvl w:ilvl="5">
      <w:start w:val="1"/>
      <w:numFmt w:val="lowerRoman"/>
      <w:suff w:val="space"/>
      <w:lvlText w:val="%6."/>
      <w:lvlJc w:val="right"/>
      <w:pPr>
        <w:ind w:left="2520" w:hanging="360"/>
      </w:pPr>
      <w:rPr>
        <w:rFonts w:hint="default"/>
      </w:rPr>
    </w:lvl>
    <w:lvl w:ilvl="6">
      <w:start w:val="1"/>
      <w:numFmt w:val="decimal"/>
      <w:suff w:val="space"/>
      <w:lvlText w:val="%7."/>
      <w:lvlJc w:val="left"/>
      <w:pPr>
        <w:ind w:left="2880" w:hanging="360"/>
      </w:pPr>
      <w:rPr>
        <w:rFonts w:hint="default"/>
      </w:rPr>
    </w:lvl>
    <w:lvl w:ilvl="7">
      <w:start w:val="1"/>
      <w:numFmt w:val="lowerLetter"/>
      <w:suff w:val="space"/>
      <w:lvlText w:val="%8."/>
      <w:lvlJc w:val="left"/>
      <w:pPr>
        <w:ind w:left="3240" w:hanging="360"/>
      </w:pPr>
      <w:rPr>
        <w:rFonts w:hint="default"/>
      </w:rPr>
    </w:lvl>
    <w:lvl w:ilvl="8">
      <w:start w:val="1"/>
      <w:numFmt w:val="lowerRoman"/>
      <w:suff w:val="space"/>
      <w:lvlText w:val="%9."/>
      <w:lvlJc w:val="right"/>
      <w:pPr>
        <w:ind w:left="3600" w:hanging="360"/>
      </w:pPr>
      <w:rPr>
        <w:rFonts w:hint="default"/>
      </w:rPr>
    </w:lvl>
  </w:abstractNum>
  <w:abstractNum w:abstractNumId="15" w15:restartNumberingAfterBreak="0">
    <w:nsid w:val="56A65C6B"/>
    <w:multiLevelType w:val="multilevel"/>
    <w:tmpl w:val="0C50A6D8"/>
    <w:lvl w:ilvl="0">
      <w:start w:val="1"/>
      <w:numFmt w:val="decimal"/>
      <w:pStyle w:val="NumberedList"/>
      <w:lvlText w:val="%1."/>
      <w:lvlJc w:val="left"/>
      <w:pPr>
        <w:tabs>
          <w:tab w:val="num" w:pos="576"/>
        </w:tabs>
        <w:ind w:left="576" w:hanging="360"/>
      </w:pPr>
      <w:rPr>
        <w:rFonts w:hint="default"/>
      </w:rPr>
    </w:lvl>
    <w:lvl w:ilvl="1">
      <w:start w:val="1"/>
      <w:numFmt w:val="lowerLetter"/>
      <w:lvlText w:val="%2."/>
      <w:lvlJc w:val="left"/>
      <w:pPr>
        <w:tabs>
          <w:tab w:val="num" w:pos="1152"/>
        </w:tabs>
        <w:ind w:left="792" w:hanging="360"/>
      </w:pPr>
      <w:rPr>
        <w:rFonts w:hint="default"/>
      </w:rPr>
    </w:lvl>
    <w:lvl w:ilvl="2">
      <w:start w:val="1"/>
      <w:numFmt w:val="lowerRoman"/>
      <w:lvlText w:val="%3."/>
      <w:lvlJc w:val="right"/>
      <w:pPr>
        <w:tabs>
          <w:tab w:val="num" w:pos="1728"/>
        </w:tabs>
        <w:ind w:left="1008" w:hanging="216"/>
      </w:pPr>
      <w:rPr>
        <w:rFonts w:hint="default"/>
      </w:rPr>
    </w:lvl>
    <w:lvl w:ilvl="3">
      <w:start w:val="1"/>
      <w:numFmt w:val="decimal"/>
      <w:lvlText w:val="%4."/>
      <w:lvlJc w:val="left"/>
      <w:pPr>
        <w:tabs>
          <w:tab w:val="num" w:pos="2304"/>
        </w:tabs>
        <w:ind w:left="1224" w:hanging="360"/>
      </w:pPr>
      <w:rPr>
        <w:rFonts w:hint="default"/>
      </w:rPr>
    </w:lvl>
    <w:lvl w:ilvl="4">
      <w:start w:val="1"/>
      <w:numFmt w:val="lowerLetter"/>
      <w:lvlText w:val="%5."/>
      <w:lvlJc w:val="left"/>
      <w:pPr>
        <w:tabs>
          <w:tab w:val="num" w:pos="2880"/>
        </w:tabs>
        <w:ind w:left="1440" w:hanging="360"/>
      </w:pPr>
      <w:rPr>
        <w:rFonts w:hint="default"/>
      </w:rPr>
    </w:lvl>
    <w:lvl w:ilvl="5">
      <w:start w:val="1"/>
      <w:numFmt w:val="lowerRoman"/>
      <w:lvlText w:val="%6."/>
      <w:lvlJc w:val="right"/>
      <w:pPr>
        <w:tabs>
          <w:tab w:val="num" w:pos="3456"/>
        </w:tabs>
        <w:ind w:left="1656" w:hanging="216"/>
      </w:pPr>
      <w:rPr>
        <w:rFonts w:hint="default"/>
      </w:rPr>
    </w:lvl>
    <w:lvl w:ilvl="6">
      <w:start w:val="1"/>
      <w:numFmt w:val="decimal"/>
      <w:lvlText w:val="%7."/>
      <w:lvlJc w:val="left"/>
      <w:pPr>
        <w:tabs>
          <w:tab w:val="num" w:pos="3672"/>
        </w:tabs>
        <w:ind w:left="1872" w:hanging="360"/>
      </w:pPr>
      <w:rPr>
        <w:rFonts w:hint="default"/>
      </w:rPr>
    </w:lvl>
    <w:lvl w:ilvl="7">
      <w:start w:val="1"/>
      <w:numFmt w:val="lowerLetter"/>
      <w:lvlText w:val="%8."/>
      <w:lvlJc w:val="left"/>
      <w:pPr>
        <w:tabs>
          <w:tab w:val="num" w:pos="4248"/>
        </w:tabs>
        <w:ind w:left="2088" w:hanging="360"/>
      </w:pPr>
      <w:rPr>
        <w:rFonts w:hint="default"/>
      </w:rPr>
    </w:lvl>
    <w:lvl w:ilvl="8">
      <w:start w:val="1"/>
      <w:numFmt w:val="lowerRoman"/>
      <w:lvlText w:val="%9."/>
      <w:lvlJc w:val="right"/>
      <w:pPr>
        <w:tabs>
          <w:tab w:val="num" w:pos="4968"/>
        </w:tabs>
        <w:ind w:left="2304" w:hanging="216"/>
      </w:pPr>
      <w:rPr>
        <w:rFonts w:hint="default"/>
      </w:rPr>
    </w:lvl>
  </w:abstractNum>
  <w:abstractNum w:abstractNumId="16" w15:restartNumberingAfterBreak="0">
    <w:nsid w:val="5C4764FE"/>
    <w:multiLevelType w:val="multilevel"/>
    <w:tmpl w:val="58B0CE64"/>
    <w:lvl w:ilvl="0">
      <w:start w:val="1"/>
      <w:numFmt w:val="bullet"/>
      <w:pStyle w:val="BulletedList"/>
      <w:lvlText w:val=""/>
      <w:lvlJc w:val="left"/>
      <w:pPr>
        <w:tabs>
          <w:tab w:val="num" w:pos="576"/>
        </w:tabs>
        <w:ind w:left="576" w:hanging="360"/>
      </w:pPr>
      <w:rPr>
        <w:rFonts w:ascii="Symbol" w:hAnsi="Symbol" w:hint="default"/>
      </w:rPr>
    </w:lvl>
    <w:lvl w:ilvl="1">
      <w:start w:val="1"/>
      <w:numFmt w:val="bullet"/>
      <w:lvlText w:val="o"/>
      <w:lvlJc w:val="left"/>
      <w:pPr>
        <w:tabs>
          <w:tab w:val="num" w:pos="1152"/>
        </w:tabs>
        <w:ind w:left="792" w:hanging="360"/>
      </w:pPr>
      <w:rPr>
        <w:rFonts w:ascii="Courier New" w:hAnsi="Courier New" w:hint="default"/>
      </w:rPr>
    </w:lvl>
    <w:lvl w:ilvl="2">
      <w:start w:val="1"/>
      <w:numFmt w:val="bullet"/>
      <w:lvlText w:val=""/>
      <w:lvlJc w:val="left"/>
      <w:pPr>
        <w:tabs>
          <w:tab w:val="num" w:pos="1728"/>
        </w:tabs>
        <w:ind w:left="1008" w:hanging="360"/>
      </w:pPr>
      <w:rPr>
        <w:rFonts w:ascii="Wingdings" w:hAnsi="Wingdings" w:hint="default"/>
      </w:rPr>
    </w:lvl>
    <w:lvl w:ilvl="3">
      <w:start w:val="1"/>
      <w:numFmt w:val="bullet"/>
      <w:lvlText w:val=""/>
      <w:lvlJc w:val="left"/>
      <w:pPr>
        <w:tabs>
          <w:tab w:val="num" w:pos="2304"/>
        </w:tabs>
        <w:ind w:left="1224" w:hanging="360"/>
      </w:pPr>
      <w:rPr>
        <w:rFonts w:ascii="Symbol" w:hAnsi="Symbol" w:hint="default"/>
      </w:rPr>
    </w:lvl>
    <w:lvl w:ilvl="4">
      <w:start w:val="1"/>
      <w:numFmt w:val="bullet"/>
      <w:lvlText w:val="o"/>
      <w:lvlJc w:val="left"/>
      <w:pPr>
        <w:tabs>
          <w:tab w:val="num" w:pos="2880"/>
        </w:tabs>
        <w:ind w:left="1440" w:hanging="360"/>
      </w:pPr>
      <w:rPr>
        <w:rFonts w:ascii="Courier New" w:hAnsi="Courier New" w:hint="default"/>
      </w:rPr>
    </w:lvl>
    <w:lvl w:ilvl="5">
      <w:start w:val="1"/>
      <w:numFmt w:val="bullet"/>
      <w:lvlText w:val=""/>
      <w:lvlJc w:val="left"/>
      <w:pPr>
        <w:tabs>
          <w:tab w:val="num" w:pos="3456"/>
        </w:tabs>
        <w:ind w:left="3456" w:hanging="360"/>
      </w:pPr>
      <w:rPr>
        <w:rFonts w:ascii="Wingdings" w:hAnsi="Wingdings" w:hint="default"/>
      </w:rPr>
    </w:lvl>
    <w:lvl w:ilvl="6">
      <w:start w:val="1"/>
      <w:numFmt w:val="bullet"/>
      <w:lvlText w:val=""/>
      <w:lvlJc w:val="left"/>
      <w:pPr>
        <w:tabs>
          <w:tab w:val="num" w:pos="4032"/>
        </w:tabs>
        <w:ind w:left="4032" w:hanging="360"/>
      </w:pPr>
      <w:rPr>
        <w:rFonts w:ascii="Symbol" w:hAnsi="Symbol" w:hint="default"/>
      </w:rPr>
    </w:lvl>
    <w:lvl w:ilvl="7">
      <w:start w:val="1"/>
      <w:numFmt w:val="bullet"/>
      <w:lvlText w:val="o"/>
      <w:lvlJc w:val="left"/>
      <w:pPr>
        <w:tabs>
          <w:tab w:val="num" w:pos="4608"/>
        </w:tabs>
        <w:ind w:left="4608" w:hanging="360"/>
      </w:pPr>
      <w:rPr>
        <w:rFonts w:ascii="Courier New" w:hAnsi="Courier New" w:hint="default"/>
      </w:rPr>
    </w:lvl>
    <w:lvl w:ilvl="8">
      <w:start w:val="1"/>
      <w:numFmt w:val="bullet"/>
      <w:lvlText w:val=""/>
      <w:lvlJc w:val="left"/>
      <w:pPr>
        <w:tabs>
          <w:tab w:val="num" w:pos="5184"/>
        </w:tabs>
        <w:ind w:left="5184" w:hanging="360"/>
      </w:pPr>
      <w:rPr>
        <w:rFonts w:ascii="Wingdings" w:hAnsi="Wingdings" w:hint="default"/>
      </w:rPr>
    </w:lvl>
  </w:abstractNum>
  <w:abstractNum w:abstractNumId="17" w15:restartNumberingAfterBreak="0">
    <w:nsid w:val="5FB60E99"/>
    <w:multiLevelType w:val="hybridMultilevel"/>
    <w:tmpl w:val="831E7E46"/>
    <w:lvl w:ilvl="0" w:tplc="87C2981A">
      <w:start w:val="1"/>
      <w:numFmt w:val="decimal"/>
      <w:lvlText w:val="Chapter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1268F"/>
    <w:multiLevelType w:val="multilevel"/>
    <w:tmpl w:val="77CE8068"/>
    <w:lvl w:ilvl="0">
      <w:start w:val="1"/>
      <w:numFmt w:val="decimal"/>
      <w:lvlText w:val="Chapter %1"/>
      <w:lvlJc w:val="righ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AC11FA3"/>
    <w:multiLevelType w:val="hybridMultilevel"/>
    <w:tmpl w:val="A6FC9C00"/>
    <w:lvl w:ilvl="0" w:tplc="27B4AEEC">
      <w:start w:val="1"/>
      <w:numFmt w:val="decimal"/>
      <w:lvlText w:val="Figure 2.%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8"/>
  </w:num>
  <w:num w:numId="2">
    <w:abstractNumId w:val="4"/>
  </w:num>
  <w:num w:numId="3">
    <w:abstractNumId w:val="17"/>
  </w:num>
  <w:num w:numId="4">
    <w:abstractNumId w:val="13"/>
  </w:num>
  <w:num w:numId="5">
    <w:abstractNumId w:val="8"/>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2"/>
  </w:num>
  <w:num w:numId="12">
    <w:abstractNumId w:val="9"/>
  </w:num>
  <w:num w:numId="13">
    <w:abstractNumId w:val="19"/>
  </w:num>
  <w:num w:numId="14">
    <w:abstractNumId w:val="3"/>
  </w:num>
  <w:num w:numId="15">
    <w:abstractNumId w:val="11"/>
  </w:num>
  <w:num w:numId="16">
    <w:abstractNumId w:val="1"/>
  </w:num>
  <w:num w:numId="17">
    <w:abstractNumId w:val="6"/>
  </w:num>
  <w:num w:numId="18">
    <w:abstractNumId w:val="14"/>
  </w:num>
  <w:num w:numId="19">
    <w:abstractNumId w:val="10"/>
  </w:num>
  <w:num w:numId="20">
    <w:abstractNumId w:val="5"/>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0"/>
  </w:num>
  <w:num w:numId="24">
    <w:abstractNumId w:val="16"/>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EF3"/>
    <w:rsid w:val="004208DC"/>
    <w:rsid w:val="00A8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E121"/>
  <w15:chartTrackingRefBased/>
  <w15:docId w15:val="{5563A97B-1E4A-49A7-83C4-112C462A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F3"/>
    <w:pPr>
      <w:spacing w:after="200" w:line="480" w:lineRule="auto"/>
      <w:ind w:firstLine="720"/>
    </w:pPr>
    <w:rPr>
      <w:rFonts w:asciiTheme="majorHAnsi" w:hAnsiTheme="majorHAnsi"/>
      <w:sz w:val="24"/>
    </w:rPr>
  </w:style>
  <w:style w:type="paragraph" w:styleId="Heading1">
    <w:name w:val="heading 1"/>
    <w:aliases w:val="Chapter"/>
    <w:next w:val="TOCHeading"/>
    <w:link w:val="Heading1Char"/>
    <w:uiPriority w:val="9"/>
    <w:qFormat/>
    <w:rsid w:val="00A80EF3"/>
    <w:pPr>
      <w:pageBreakBefore/>
      <w:numPr>
        <w:numId w:val="16"/>
      </w:numPr>
      <w:spacing w:before="1800" w:after="840" w:line="276" w:lineRule="auto"/>
      <w:jc w:val="right"/>
      <w:outlineLvl w:val="0"/>
    </w:pPr>
    <w:rPr>
      <w:rFonts w:ascii="Times New Roman" w:hAnsi="Times New Roman" w:cs="Times New Roman"/>
      <w:sz w:val="44"/>
      <w:szCs w:val="40"/>
    </w:rPr>
  </w:style>
  <w:style w:type="paragraph" w:styleId="Heading2">
    <w:name w:val="heading 2"/>
    <w:aliases w:val="Sub-Chapter"/>
    <w:basedOn w:val="Normal"/>
    <w:next w:val="Normal"/>
    <w:link w:val="Heading2Char"/>
    <w:uiPriority w:val="9"/>
    <w:unhideWhenUsed/>
    <w:qFormat/>
    <w:rsid w:val="00A80EF3"/>
    <w:pPr>
      <w:keepNext/>
      <w:keepLines/>
      <w:numPr>
        <w:ilvl w:val="1"/>
        <w:numId w:val="16"/>
      </w:numPr>
      <w:spacing w:before="480" w:after="240"/>
      <w:outlineLvl w:val="1"/>
    </w:pPr>
    <w:rPr>
      <w:rFonts w:eastAsiaTheme="majorEastAsia" w:cstheme="majorBidi"/>
      <w:b/>
      <w:bCs/>
      <w:sz w:val="28"/>
      <w:szCs w:val="28"/>
    </w:rPr>
  </w:style>
  <w:style w:type="paragraph" w:styleId="Heading3">
    <w:name w:val="heading 3"/>
    <w:aliases w:val="Section"/>
    <w:basedOn w:val="Normal"/>
    <w:next w:val="Normal"/>
    <w:link w:val="Heading3Char"/>
    <w:uiPriority w:val="9"/>
    <w:unhideWhenUsed/>
    <w:qFormat/>
    <w:rsid w:val="00A80EF3"/>
    <w:pPr>
      <w:keepNext/>
      <w:keepLines/>
      <w:numPr>
        <w:ilvl w:val="2"/>
        <w:numId w:val="16"/>
      </w:numPr>
      <w:spacing w:before="240" w:after="240"/>
      <w:ind w:left="720"/>
      <w:outlineLvl w:val="2"/>
    </w:pPr>
    <w:rPr>
      <w:rFonts w:eastAsiaTheme="majorEastAsia" w:cstheme="majorBidi"/>
      <w:b/>
      <w:bCs/>
      <w:szCs w:val="24"/>
    </w:rPr>
  </w:style>
  <w:style w:type="paragraph" w:styleId="Heading4">
    <w:name w:val="heading 4"/>
    <w:aliases w:val="Sub-Section"/>
    <w:basedOn w:val="Normal"/>
    <w:next w:val="Normal"/>
    <w:link w:val="Heading4Char"/>
    <w:uiPriority w:val="9"/>
    <w:unhideWhenUsed/>
    <w:qFormat/>
    <w:rsid w:val="00A80EF3"/>
    <w:pPr>
      <w:keepNext/>
      <w:keepLines/>
      <w:numPr>
        <w:ilvl w:val="3"/>
        <w:numId w:val="16"/>
      </w:numPr>
      <w:spacing w:before="240" w:after="240"/>
      <w:outlineLvl w:val="3"/>
    </w:pPr>
    <w:rPr>
      <w:rFonts w:eastAsiaTheme="majorEastAsia" w:cstheme="majorBidi"/>
      <w:b/>
      <w:bCs/>
      <w:szCs w:val="24"/>
    </w:rPr>
  </w:style>
  <w:style w:type="paragraph" w:styleId="Heading5">
    <w:name w:val="heading 5"/>
    <w:basedOn w:val="Normal"/>
    <w:next w:val="Normal"/>
    <w:link w:val="Heading5Char"/>
    <w:uiPriority w:val="9"/>
    <w:semiHidden/>
    <w:unhideWhenUsed/>
    <w:rsid w:val="00A80EF3"/>
    <w:pPr>
      <w:keepNext/>
      <w:keepLines/>
      <w:spacing w:before="200" w:after="0"/>
      <w:ind w:firstLine="0"/>
      <w:outlineLvl w:val="4"/>
    </w:pPr>
    <w:rPr>
      <w:rFonts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A80EF3"/>
    <w:pPr>
      <w:keepNext/>
      <w:keepLines/>
      <w:spacing w:before="200" w:after="0"/>
      <w:ind w:firstLine="0"/>
      <w:outlineLvl w:val="5"/>
    </w:pPr>
    <w:rPr>
      <w:rFonts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A80EF3"/>
    <w:pPr>
      <w:keepNext/>
      <w:keepLines/>
      <w:spacing w:before="200" w:after="0"/>
      <w:ind w:firstLine="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A80EF3"/>
    <w:pPr>
      <w:keepNext/>
      <w:keepLines/>
      <w:spacing w:before="200" w:after="0"/>
      <w:ind w:firstLine="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80EF3"/>
    <w:pPr>
      <w:keepNext/>
      <w:keepLines/>
      <w:spacing w:before="200" w:after="0"/>
      <w:ind w:firstLine="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uiPriority w:val="9"/>
    <w:rsid w:val="00A80EF3"/>
    <w:rPr>
      <w:rFonts w:ascii="Times New Roman" w:hAnsi="Times New Roman" w:cs="Times New Roman"/>
      <w:sz w:val="44"/>
      <w:szCs w:val="40"/>
    </w:rPr>
  </w:style>
  <w:style w:type="character" w:customStyle="1" w:styleId="Heading2Char">
    <w:name w:val="Heading 2 Char"/>
    <w:aliases w:val="Sub-Chapter Char"/>
    <w:basedOn w:val="DefaultParagraphFont"/>
    <w:link w:val="Heading2"/>
    <w:uiPriority w:val="9"/>
    <w:rsid w:val="00A80EF3"/>
    <w:rPr>
      <w:rFonts w:asciiTheme="majorHAnsi" w:eastAsiaTheme="majorEastAsia" w:hAnsiTheme="majorHAnsi" w:cstheme="majorBidi"/>
      <w:b/>
      <w:bCs/>
      <w:sz w:val="28"/>
      <w:szCs w:val="28"/>
    </w:rPr>
  </w:style>
  <w:style w:type="character" w:customStyle="1" w:styleId="Heading3Char">
    <w:name w:val="Heading 3 Char"/>
    <w:aliases w:val="Section Char"/>
    <w:basedOn w:val="DefaultParagraphFont"/>
    <w:link w:val="Heading3"/>
    <w:uiPriority w:val="9"/>
    <w:rsid w:val="00A80EF3"/>
    <w:rPr>
      <w:rFonts w:asciiTheme="majorHAnsi" w:eastAsiaTheme="majorEastAsia" w:hAnsiTheme="majorHAnsi" w:cstheme="majorBidi"/>
      <w:b/>
      <w:bCs/>
      <w:sz w:val="24"/>
      <w:szCs w:val="24"/>
    </w:rPr>
  </w:style>
  <w:style w:type="character" w:customStyle="1" w:styleId="Heading4Char">
    <w:name w:val="Heading 4 Char"/>
    <w:aliases w:val="Sub-Section Char"/>
    <w:basedOn w:val="DefaultParagraphFont"/>
    <w:link w:val="Heading4"/>
    <w:uiPriority w:val="9"/>
    <w:rsid w:val="00A80EF3"/>
    <w:rPr>
      <w:rFonts w:asciiTheme="majorHAnsi" w:eastAsiaTheme="majorEastAsia" w:hAnsiTheme="majorHAnsi" w:cstheme="majorBidi"/>
      <w:b/>
      <w:bCs/>
      <w:sz w:val="24"/>
      <w:szCs w:val="24"/>
    </w:rPr>
  </w:style>
  <w:style w:type="character" w:customStyle="1" w:styleId="Heading5Char">
    <w:name w:val="Heading 5 Char"/>
    <w:basedOn w:val="DefaultParagraphFont"/>
    <w:link w:val="Heading5"/>
    <w:uiPriority w:val="9"/>
    <w:semiHidden/>
    <w:rsid w:val="00A80EF3"/>
    <w:rPr>
      <w:rFonts w:asciiTheme="majorHAnsi" w:eastAsiaTheme="majorEastAsia" w:hAnsiTheme="majorHAnsi" w:cstheme="majorBidi"/>
      <w:color w:val="1F3763" w:themeColor="accent1" w:themeShade="7F"/>
      <w:sz w:val="24"/>
    </w:rPr>
  </w:style>
  <w:style w:type="character" w:customStyle="1" w:styleId="Heading6Char">
    <w:name w:val="Heading 6 Char"/>
    <w:basedOn w:val="DefaultParagraphFont"/>
    <w:link w:val="Heading6"/>
    <w:uiPriority w:val="9"/>
    <w:semiHidden/>
    <w:rsid w:val="00A80EF3"/>
    <w:rPr>
      <w:rFonts w:asciiTheme="majorHAnsi" w:eastAsiaTheme="majorEastAsia" w:hAnsiTheme="majorHAnsi" w:cstheme="majorBidi"/>
      <w:i/>
      <w:iCs/>
      <w:color w:val="1F3763" w:themeColor="accent1" w:themeShade="7F"/>
      <w:sz w:val="24"/>
    </w:rPr>
  </w:style>
  <w:style w:type="character" w:customStyle="1" w:styleId="Heading7Char">
    <w:name w:val="Heading 7 Char"/>
    <w:basedOn w:val="DefaultParagraphFont"/>
    <w:link w:val="Heading7"/>
    <w:uiPriority w:val="9"/>
    <w:semiHidden/>
    <w:rsid w:val="00A80EF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A80EF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0EF3"/>
    <w:rPr>
      <w:rFonts w:asciiTheme="majorHAnsi" w:eastAsiaTheme="majorEastAsia" w:hAnsiTheme="majorHAnsi" w:cstheme="majorBidi"/>
      <w:i/>
      <w:iCs/>
      <w:color w:val="404040" w:themeColor="text1" w:themeTint="BF"/>
      <w:sz w:val="20"/>
      <w:szCs w:val="20"/>
    </w:rPr>
  </w:style>
  <w:style w:type="paragraph" w:styleId="TOCHeading">
    <w:name w:val="TOC Heading"/>
    <w:aliases w:val="Chapter Title"/>
    <w:next w:val="Normal"/>
    <w:autoRedefine/>
    <w:uiPriority w:val="39"/>
    <w:unhideWhenUsed/>
    <w:qFormat/>
    <w:rsid w:val="00A80EF3"/>
    <w:pPr>
      <w:spacing w:before="1440" w:after="1440" w:line="276" w:lineRule="auto"/>
      <w:jc w:val="right"/>
      <w:outlineLvl w:val="0"/>
    </w:pPr>
    <w:rPr>
      <w:rFonts w:ascii="Tahoma" w:eastAsiaTheme="minorEastAsia" w:hAnsi="Tahoma" w:cs="Times New Roman"/>
      <w:b/>
      <w:sz w:val="44"/>
      <w:szCs w:val="40"/>
    </w:rPr>
  </w:style>
  <w:style w:type="paragraph" w:customStyle="1" w:styleId="SpecialTitle">
    <w:name w:val="Special Title"/>
    <w:basedOn w:val="TOCHeading"/>
    <w:next w:val="Normal"/>
    <w:link w:val="SpecialTitleChar"/>
    <w:qFormat/>
    <w:rsid w:val="00A80EF3"/>
    <w:pPr>
      <w:pageBreakBefore/>
      <w:spacing w:before="240" w:after="480" w:line="240" w:lineRule="auto"/>
      <w:jc w:val="center"/>
    </w:pPr>
    <w:rPr>
      <w:rFonts w:cs="Tahoma"/>
      <w:sz w:val="40"/>
    </w:rPr>
  </w:style>
  <w:style w:type="character" w:customStyle="1" w:styleId="SpecialTitleChar">
    <w:name w:val="Special Title Char"/>
    <w:basedOn w:val="DefaultParagraphFont"/>
    <w:link w:val="SpecialTitle"/>
    <w:rsid w:val="00A80EF3"/>
    <w:rPr>
      <w:rFonts w:ascii="Tahoma" w:eastAsiaTheme="minorEastAsia" w:hAnsi="Tahoma" w:cs="Tahoma"/>
      <w:b/>
      <w:sz w:val="40"/>
      <w:szCs w:val="40"/>
    </w:rPr>
  </w:style>
  <w:style w:type="paragraph" w:styleId="TableofFigures">
    <w:name w:val="table of figures"/>
    <w:basedOn w:val="ListText"/>
    <w:next w:val="Normal"/>
    <w:uiPriority w:val="99"/>
    <w:unhideWhenUsed/>
    <w:rsid w:val="00A80EF3"/>
    <w:pPr>
      <w:spacing w:before="240" w:after="240"/>
    </w:pPr>
    <w:rPr>
      <w:b/>
    </w:rPr>
  </w:style>
  <w:style w:type="paragraph" w:customStyle="1" w:styleId="ListText">
    <w:name w:val="List Text"/>
    <w:basedOn w:val="Normal"/>
    <w:link w:val="ListTextChar"/>
    <w:qFormat/>
    <w:rsid w:val="00A80EF3"/>
    <w:pPr>
      <w:spacing w:line="276" w:lineRule="auto"/>
      <w:ind w:firstLine="0"/>
    </w:pPr>
  </w:style>
  <w:style w:type="character" w:customStyle="1" w:styleId="ListTextChar">
    <w:name w:val="List Text Char"/>
    <w:basedOn w:val="DefaultParagraphFont"/>
    <w:link w:val="ListText"/>
    <w:rsid w:val="00A80EF3"/>
    <w:rPr>
      <w:rFonts w:asciiTheme="majorHAnsi" w:hAnsiTheme="majorHAnsi"/>
      <w:sz w:val="24"/>
    </w:rPr>
  </w:style>
  <w:style w:type="paragraph" w:styleId="TOC2">
    <w:name w:val="toc 2"/>
    <w:basedOn w:val="Normal"/>
    <w:next w:val="Normal"/>
    <w:autoRedefine/>
    <w:uiPriority w:val="39"/>
    <w:unhideWhenUsed/>
    <w:rsid w:val="00A80EF3"/>
    <w:pPr>
      <w:spacing w:after="80" w:line="276" w:lineRule="auto"/>
      <w:ind w:left="216" w:firstLine="0"/>
    </w:pPr>
    <w:rPr>
      <w:rFonts w:asciiTheme="minorHAnsi" w:eastAsiaTheme="minorEastAsia" w:hAnsiTheme="minorHAnsi"/>
    </w:rPr>
  </w:style>
  <w:style w:type="paragraph" w:styleId="TOC1">
    <w:name w:val="toc 1"/>
    <w:basedOn w:val="ListText"/>
    <w:next w:val="Normal"/>
    <w:autoRedefine/>
    <w:uiPriority w:val="39"/>
    <w:unhideWhenUsed/>
    <w:rsid w:val="00A80EF3"/>
    <w:pPr>
      <w:tabs>
        <w:tab w:val="right" w:leader="dot" w:pos="8630"/>
      </w:tabs>
      <w:spacing w:before="120" w:after="80"/>
    </w:pPr>
    <w:rPr>
      <w:rFonts w:asciiTheme="minorHAnsi" w:eastAsiaTheme="minorEastAsia" w:hAnsiTheme="minorHAnsi"/>
      <w:b/>
    </w:rPr>
  </w:style>
  <w:style w:type="paragraph" w:styleId="TOC3">
    <w:name w:val="toc 3"/>
    <w:basedOn w:val="TOC2"/>
    <w:next w:val="Normal"/>
    <w:autoRedefine/>
    <w:uiPriority w:val="39"/>
    <w:unhideWhenUsed/>
    <w:rsid w:val="00A80EF3"/>
    <w:pPr>
      <w:ind w:left="432"/>
    </w:pPr>
  </w:style>
  <w:style w:type="paragraph" w:styleId="BalloonText">
    <w:name w:val="Balloon Text"/>
    <w:basedOn w:val="Normal"/>
    <w:link w:val="BalloonTextChar"/>
    <w:uiPriority w:val="99"/>
    <w:semiHidden/>
    <w:unhideWhenUsed/>
    <w:rsid w:val="00A80E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EF3"/>
    <w:rPr>
      <w:rFonts w:ascii="Tahoma" w:hAnsi="Tahoma" w:cs="Tahoma"/>
      <w:sz w:val="16"/>
      <w:szCs w:val="16"/>
    </w:rPr>
  </w:style>
  <w:style w:type="paragraph" w:customStyle="1" w:styleId="CoverCaps">
    <w:name w:val="[Cover] Caps"/>
    <w:basedOn w:val="Normal"/>
    <w:link w:val="CoverCapsChar"/>
    <w:rsid w:val="00A80EF3"/>
    <w:pPr>
      <w:spacing w:before="240" w:after="240" w:line="240" w:lineRule="auto"/>
      <w:ind w:firstLine="0"/>
      <w:jc w:val="center"/>
    </w:pPr>
    <w:rPr>
      <w:rFonts w:ascii="Times New Roman" w:hAnsi="Times New Roman" w:cs="Times New Roman"/>
      <w:sz w:val="32"/>
      <w:szCs w:val="32"/>
    </w:rPr>
  </w:style>
  <w:style w:type="character" w:customStyle="1" w:styleId="CoverCapsChar">
    <w:name w:val="[Cover] Caps Char"/>
    <w:basedOn w:val="DefaultParagraphFont"/>
    <w:link w:val="CoverCaps"/>
    <w:rsid w:val="00A80EF3"/>
    <w:rPr>
      <w:rFonts w:ascii="Times New Roman" w:hAnsi="Times New Roman" w:cs="Times New Roman"/>
      <w:sz w:val="32"/>
      <w:szCs w:val="32"/>
    </w:rPr>
  </w:style>
  <w:style w:type="paragraph" w:customStyle="1" w:styleId="CoverBold">
    <w:name w:val="[Cover] Bold"/>
    <w:basedOn w:val="Normal"/>
    <w:link w:val="CoverBoldChar"/>
    <w:rsid w:val="00A80EF3"/>
    <w:pPr>
      <w:spacing w:before="240" w:after="240" w:line="240" w:lineRule="auto"/>
      <w:ind w:firstLine="0"/>
      <w:jc w:val="center"/>
    </w:pPr>
    <w:rPr>
      <w:rFonts w:ascii="Times New Roman" w:hAnsi="Times New Roman" w:cs="Times New Roman"/>
      <w:b/>
      <w:sz w:val="32"/>
      <w:szCs w:val="32"/>
    </w:rPr>
  </w:style>
  <w:style w:type="character" w:customStyle="1" w:styleId="CoverBoldChar">
    <w:name w:val="[Cover] Bold Char"/>
    <w:basedOn w:val="DefaultParagraphFont"/>
    <w:link w:val="CoverBold"/>
    <w:rsid w:val="00A80EF3"/>
    <w:rPr>
      <w:rFonts w:ascii="Times New Roman" w:hAnsi="Times New Roman" w:cs="Times New Roman"/>
      <w:b/>
      <w:sz w:val="32"/>
      <w:szCs w:val="32"/>
    </w:rPr>
  </w:style>
  <w:style w:type="paragraph" w:customStyle="1" w:styleId="CoverSigner">
    <w:name w:val="[Cover] Signer"/>
    <w:basedOn w:val="Normal"/>
    <w:link w:val="CoverSignerChar"/>
    <w:rsid w:val="00A80EF3"/>
    <w:pPr>
      <w:spacing w:after="0" w:line="240" w:lineRule="auto"/>
      <w:ind w:left="4500" w:firstLine="0"/>
    </w:pPr>
    <w:rPr>
      <w:rFonts w:ascii="Times New Roman" w:hAnsi="Times New Roman" w:cs="Times New Roman"/>
      <w:szCs w:val="24"/>
    </w:rPr>
  </w:style>
  <w:style w:type="character" w:customStyle="1" w:styleId="CoverSignerChar">
    <w:name w:val="[Cover] Signer Char"/>
    <w:basedOn w:val="DefaultParagraphFont"/>
    <w:link w:val="CoverSigner"/>
    <w:rsid w:val="00A80EF3"/>
    <w:rPr>
      <w:rFonts w:ascii="Times New Roman" w:hAnsi="Times New Roman" w:cs="Times New Roman"/>
      <w:sz w:val="24"/>
      <w:szCs w:val="24"/>
    </w:rPr>
  </w:style>
  <w:style w:type="paragraph" w:customStyle="1" w:styleId="CoverSignatureLine">
    <w:name w:val="[Cover] Signature Line"/>
    <w:basedOn w:val="Normal"/>
    <w:link w:val="CoverSignatureLineChar"/>
    <w:rsid w:val="00A80EF3"/>
    <w:pPr>
      <w:pBdr>
        <w:bottom w:val="single" w:sz="12" w:space="1" w:color="auto"/>
      </w:pBdr>
      <w:spacing w:before="560" w:after="0" w:line="240" w:lineRule="auto"/>
      <w:ind w:left="4507" w:firstLine="0"/>
    </w:pPr>
    <w:rPr>
      <w:rFonts w:ascii="Times New Roman" w:hAnsi="Times New Roman" w:cs="Times New Roman"/>
      <w:szCs w:val="24"/>
    </w:rPr>
  </w:style>
  <w:style w:type="character" w:customStyle="1" w:styleId="CoverSignatureLineChar">
    <w:name w:val="[Cover] Signature Line Char"/>
    <w:basedOn w:val="DefaultParagraphFont"/>
    <w:link w:val="CoverSignatureLine"/>
    <w:rsid w:val="00A80EF3"/>
    <w:rPr>
      <w:rFonts w:ascii="Times New Roman" w:hAnsi="Times New Roman" w:cs="Times New Roman"/>
      <w:sz w:val="24"/>
      <w:szCs w:val="24"/>
    </w:rPr>
  </w:style>
  <w:style w:type="character" w:styleId="Hyperlink">
    <w:name w:val="Hyperlink"/>
    <w:basedOn w:val="DefaultParagraphFont"/>
    <w:uiPriority w:val="99"/>
    <w:unhideWhenUsed/>
    <w:rsid w:val="00A80EF3"/>
    <w:rPr>
      <w:color w:val="0563C1" w:themeColor="hyperlink"/>
      <w:u w:val="single"/>
    </w:rPr>
  </w:style>
  <w:style w:type="paragraph" w:styleId="Header">
    <w:name w:val="header"/>
    <w:basedOn w:val="Normal"/>
    <w:link w:val="HeaderChar"/>
    <w:uiPriority w:val="99"/>
    <w:unhideWhenUsed/>
    <w:rsid w:val="00A80E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EF3"/>
    <w:rPr>
      <w:rFonts w:asciiTheme="majorHAnsi" w:hAnsiTheme="majorHAnsi"/>
      <w:sz w:val="24"/>
    </w:rPr>
  </w:style>
  <w:style w:type="paragraph" w:styleId="Subtitle">
    <w:name w:val="Subtitle"/>
    <w:basedOn w:val="Normal"/>
    <w:next w:val="Normal"/>
    <w:link w:val="SubtitleChar"/>
    <w:uiPriority w:val="11"/>
    <w:rsid w:val="00A80EF3"/>
    <w:pPr>
      <w:numPr>
        <w:ilvl w:val="1"/>
      </w:numPr>
      <w:ind w:firstLine="720"/>
    </w:pPr>
    <w:rPr>
      <w:rFonts w:eastAsiaTheme="majorEastAsia" w:cstheme="majorBidi"/>
      <w:i/>
      <w:iCs/>
      <w:color w:val="4472C4" w:themeColor="accent1"/>
      <w:spacing w:val="15"/>
      <w:szCs w:val="24"/>
    </w:rPr>
  </w:style>
  <w:style w:type="character" w:customStyle="1" w:styleId="SubtitleChar">
    <w:name w:val="Subtitle Char"/>
    <w:basedOn w:val="DefaultParagraphFont"/>
    <w:link w:val="Subtitle"/>
    <w:uiPriority w:val="11"/>
    <w:rsid w:val="00A80EF3"/>
    <w:rPr>
      <w:rFonts w:asciiTheme="majorHAnsi" w:eastAsiaTheme="majorEastAsia" w:hAnsiTheme="majorHAnsi" w:cstheme="majorBidi"/>
      <w:i/>
      <w:iCs/>
      <w:color w:val="4472C4" w:themeColor="accent1"/>
      <w:spacing w:val="15"/>
      <w:sz w:val="24"/>
      <w:szCs w:val="24"/>
    </w:rPr>
  </w:style>
  <w:style w:type="paragraph" w:styleId="Footer">
    <w:name w:val="footer"/>
    <w:basedOn w:val="Normal"/>
    <w:link w:val="FooterChar"/>
    <w:uiPriority w:val="99"/>
    <w:unhideWhenUsed/>
    <w:rsid w:val="00A80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EF3"/>
    <w:rPr>
      <w:rFonts w:asciiTheme="majorHAnsi" w:hAnsiTheme="majorHAnsi"/>
      <w:sz w:val="24"/>
    </w:rPr>
  </w:style>
  <w:style w:type="paragraph" w:styleId="DocumentMap">
    <w:name w:val="Document Map"/>
    <w:basedOn w:val="Normal"/>
    <w:link w:val="DocumentMapChar"/>
    <w:uiPriority w:val="99"/>
    <w:semiHidden/>
    <w:unhideWhenUsed/>
    <w:rsid w:val="00A80EF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80EF3"/>
    <w:rPr>
      <w:rFonts w:ascii="Tahoma" w:hAnsi="Tahoma" w:cs="Tahoma"/>
      <w:sz w:val="16"/>
      <w:szCs w:val="16"/>
    </w:rPr>
  </w:style>
  <w:style w:type="paragraph" w:styleId="Revision">
    <w:name w:val="Revision"/>
    <w:hidden/>
    <w:uiPriority w:val="99"/>
    <w:semiHidden/>
    <w:rsid w:val="00A80EF3"/>
    <w:pPr>
      <w:spacing w:after="0" w:line="240" w:lineRule="auto"/>
    </w:pPr>
    <w:rPr>
      <w:rFonts w:asciiTheme="majorHAnsi" w:hAnsiTheme="majorHAnsi"/>
      <w:sz w:val="24"/>
    </w:rPr>
  </w:style>
  <w:style w:type="character" w:styleId="LineNumber">
    <w:name w:val="line number"/>
    <w:basedOn w:val="DefaultParagraphFont"/>
    <w:uiPriority w:val="99"/>
    <w:semiHidden/>
    <w:unhideWhenUsed/>
    <w:rsid w:val="00A80EF3"/>
  </w:style>
  <w:style w:type="paragraph" w:styleId="Bibliography">
    <w:name w:val="Bibliography"/>
    <w:basedOn w:val="Normal"/>
    <w:next w:val="Normal"/>
    <w:uiPriority w:val="37"/>
    <w:unhideWhenUsed/>
    <w:rsid w:val="00A80EF3"/>
    <w:pPr>
      <w:tabs>
        <w:tab w:val="left" w:pos="384"/>
      </w:tabs>
      <w:spacing w:after="0"/>
      <w:ind w:left="384" w:hanging="384"/>
    </w:pPr>
  </w:style>
  <w:style w:type="character" w:customStyle="1" w:styleId="apple-style-span">
    <w:name w:val="apple-style-span"/>
    <w:basedOn w:val="DefaultParagraphFont"/>
    <w:rsid w:val="00A80EF3"/>
  </w:style>
  <w:style w:type="character" w:customStyle="1" w:styleId="apple-converted-space">
    <w:name w:val="apple-converted-space"/>
    <w:basedOn w:val="DefaultParagraphFont"/>
    <w:rsid w:val="00A80EF3"/>
  </w:style>
  <w:style w:type="paragraph" w:styleId="ListParagraph">
    <w:name w:val="List Paragraph"/>
    <w:basedOn w:val="Normal"/>
    <w:link w:val="ListParagraphChar"/>
    <w:autoRedefine/>
    <w:uiPriority w:val="34"/>
    <w:rsid w:val="00A80EF3"/>
    <w:pPr>
      <w:ind w:left="720"/>
      <w:contextualSpacing/>
    </w:pPr>
  </w:style>
  <w:style w:type="table" w:styleId="TableGrid">
    <w:name w:val="Table Grid"/>
    <w:basedOn w:val="TableNormal"/>
    <w:uiPriority w:val="59"/>
    <w:rsid w:val="00A80EF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List1">
    <w:name w:val="Light List1"/>
    <w:basedOn w:val="TableNormal"/>
    <w:uiPriority w:val="61"/>
    <w:rsid w:val="00A80EF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PlaceholderText">
    <w:name w:val="Placeholder Text"/>
    <w:basedOn w:val="DefaultParagraphFont"/>
    <w:uiPriority w:val="99"/>
    <w:semiHidden/>
    <w:rsid w:val="00A80EF3"/>
    <w:rPr>
      <w:color w:val="808080"/>
    </w:rPr>
  </w:style>
  <w:style w:type="paragraph" w:styleId="Caption">
    <w:name w:val="caption"/>
    <w:basedOn w:val="Normal"/>
    <w:next w:val="Normal"/>
    <w:autoRedefine/>
    <w:uiPriority w:val="35"/>
    <w:unhideWhenUsed/>
    <w:qFormat/>
    <w:rsid w:val="00A80EF3"/>
    <w:pPr>
      <w:spacing w:before="360" w:after="720" w:line="276" w:lineRule="auto"/>
      <w:ind w:firstLine="0"/>
      <w:contextualSpacing/>
      <w:jc w:val="center"/>
    </w:pPr>
    <w:rPr>
      <w:b/>
      <w:bCs/>
      <w:noProof/>
      <w:lang w:val="en-GB"/>
    </w:rPr>
  </w:style>
  <w:style w:type="paragraph" w:styleId="TOC8">
    <w:name w:val="toc 8"/>
    <w:basedOn w:val="Normal"/>
    <w:next w:val="Normal"/>
    <w:autoRedefine/>
    <w:uiPriority w:val="39"/>
    <w:semiHidden/>
    <w:unhideWhenUsed/>
    <w:rsid w:val="00A80EF3"/>
    <w:pPr>
      <w:spacing w:after="100"/>
      <w:ind w:left="1680"/>
    </w:pPr>
  </w:style>
  <w:style w:type="character" w:styleId="CommentReference">
    <w:name w:val="annotation reference"/>
    <w:basedOn w:val="DefaultParagraphFont"/>
    <w:uiPriority w:val="99"/>
    <w:semiHidden/>
    <w:unhideWhenUsed/>
    <w:rsid w:val="00A80EF3"/>
    <w:rPr>
      <w:sz w:val="16"/>
      <w:szCs w:val="16"/>
    </w:rPr>
  </w:style>
  <w:style w:type="paragraph" w:styleId="CommentText">
    <w:name w:val="annotation text"/>
    <w:basedOn w:val="Normal"/>
    <w:link w:val="CommentTextChar"/>
    <w:uiPriority w:val="99"/>
    <w:unhideWhenUsed/>
    <w:rsid w:val="00A80EF3"/>
    <w:pPr>
      <w:spacing w:line="240" w:lineRule="auto"/>
    </w:pPr>
    <w:rPr>
      <w:sz w:val="20"/>
      <w:szCs w:val="20"/>
    </w:rPr>
  </w:style>
  <w:style w:type="character" w:customStyle="1" w:styleId="CommentTextChar">
    <w:name w:val="Comment Text Char"/>
    <w:basedOn w:val="DefaultParagraphFont"/>
    <w:link w:val="CommentText"/>
    <w:uiPriority w:val="99"/>
    <w:rsid w:val="00A80EF3"/>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A80EF3"/>
    <w:rPr>
      <w:b/>
      <w:bCs/>
    </w:rPr>
  </w:style>
  <w:style w:type="character" w:customStyle="1" w:styleId="CommentSubjectChar">
    <w:name w:val="Comment Subject Char"/>
    <w:basedOn w:val="CommentTextChar"/>
    <w:link w:val="CommentSubject"/>
    <w:uiPriority w:val="99"/>
    <w:semiHidden/>
    <w:rsid w:val="00A80EF3"/>
    <w:rPr>
      <w:rFonts w:asciiTheme="majorHAnsi" w:hAnsiTheme="majorHAnsi"/>
      <w:b/>
      <w:bCs/>
      <w:sz w:val="20"/>
      <w:szCs w:val="20"/>
    </w:rPr>
  </w:style>
  <w:style w:type="paragraph" w:customStyle="1" w:styleId="TableData">
    <w:name w:val="Table Data"/>
    <w:basedOn w:val="Normal"/>
    <w:qFormat/>
    <w:rsid w:val="00A80EF3"/>
    <w:pPr>
      <w:spacing w:after="0" w:line="240" w:lineRule="auto"/>
      <w:ind w:firstLine="0"/>
      <w:jc w:val="center"/>
    </w:pPr>
    <w:rPr>
      <w:bCs/>
      <w:color w:val="000000" w:themeColor="text1"/>
      <w:szCs w:val="24"/>
    </w:rPr>
  </w:style>
  <w:style w:type="paragraph" w:customStyle="1" w:styleId="FigureLetter">
    <w:name w:val="Figure Letter"/>
    <w:basedOn w:val="Normal"/>
    <w:link w:val="FigureLetterChar"/>
    <w:qFormat/>
    <w:rsid w:val="00A80EF3"/>
    <w:pPr>
      <w:spacing w:before="240" w:after="0" w:line="240" w:lineRule="auto"/>
      <w:ind w:firstLine="0"/>
    </w:pPr>
    <w:rPr>
      <w:b/>
      <w:sz w:val="36"/>
      <w:szCs w:val="36"/>
    </w:rPr>
  </w:style>
  <w:style w:type="character" w:customStyle="1" w:styleId="FigureLetterChar">
    <w:name w:val="Figure Letter Char"/>
    <w:basedOn w:val="DefaultParagraphFont"/>
    <w:link w:val="FigureLetter"/>
    <w:rsid w:val="00A80EF3"/>
    <w:rPr>
      <w:rFonts w:asciiTheme="majorHAnsi" w:hAnsiTheme="majorHAnsi"/>
      <w:b/>
      <w:sz w:val="36"/>
      <w:szCs w:val="36"/>
    </w:rPr>
  </w:style>
  <w:style w:type="paragraph" w:customStyle="1" w:styleId="Figure">
    <w:name w:val="Figure"/>
    <w:basedOn w:val="Normal"/>
    <w:link w:val="FigureChar"/>
    <w:qFormat/>
    <w:rsid w:val="00A80EF3"/>
    <w:pPr>
      <w:spacing w:before="360"/>
      <w:ind w:firstLine="0"/>
      <w:jc w:val="center"/>
    </w:pPr>
    <w:rPr>
      <w:noProof/>
    </w:rPr>
  </w:style>
  <w:style w:type="character" w:customStyle="1" w:styleId="FigureChar">
    <w:name w:val="Figure Char"/>
    <w:basedOn w:val="DefaultParagraphFont"/>
    <w:link w:val="Figure"/>
    <w:rsid w:val="00A80EF3"/>
    <w:rPr>
      <w:rFonts w:asciiTheme="majorHAnsi" w:hAnsiTheme="majorHAnsi"/>
      <w:noProof/>
      <w:sz w:val="24"/>
    </w:rPr>
  </w:style>
  <w:style w:type="paragraph" w:styleId="TOC4">
    <w:name w:val="toc 4"/>
    <w:basedOn w:val="TOC3"/>
    <w:next w:val="Normal"/>
    <w:autoRedefine/>
    <w:uiPriority w:val="39"/>
    <w:unhideWhenUsed/>
    <w:rsid w:val="00A80EF3"/>
    <w:pPr>
      <w:spacing w:after="0"/>
      <w:ind w:left="648"/>
    </w:pPr>
  </w:style>
  <w:style w:type="character" w:styleId="FollowedHyperlink">
    <w:name w:val="FollowedHyperlink"/>
    <w:basedOn w:val="DefaultParagraphFont"/>
    <w:uiPriority w:val="99"/>
    <w:semiHidden/>
    <w:unhideWhenUsed/>
    <w:rsid w:val="00A80EF3"/>
    <w:rPr>
      <w:color w:val="954F72" w:themeColor="followedHyperlink"/>
      <w:u w:val="single"/>
    </w:rPr>
  </w:style>
  <w:style w:type="paragraph" w:customStyle="1" w:styleId="NumberedList">
    <w:name w:val="Numbered List"/>
    <w:basedOn w:val="Normal"/>
    <w:link w:val="NumberedListChar"/>
    <w:qFormat/>
    <w:rsid w:val="00A80EF3"/>
    <w:pPr>
      <w:numPr>
        <w:numId w:val="10"/>
      </w:numPr>
    </w:pPr>
  </w:style>
  <w:style w:type="paragraph" w:customStyle="1" w:styleId="BulletedList">
    <w:name w:val="Bulleted List"/>
    <w:basedOn w:val="Normal"/>
    <w:link w:val="BulletedListChar"/>
    <w:qFormat/>
    <w:rsid w:val="00A80EF3"/>
    <w:pPr>
      <w:numPr>
        <w:numId w:val="24"/>
      </w:numPr>
    </w:pPr>
  </w:style>
  <w:style w:type="character" w:customStyle="1" w:styleId="ListParagraphChar">
    <w:name w:val="List Paragraph Char"/>
    <w:basedOn w:val="DefaultParagraphFont"/>
    <w:link w:val="ListParagraph"/>
    <w:uiPriority w:val="34"/>
    <w:rsid w:val="00A80EF3"/>
    <w:rPr>
      <w:rFonts w:asciiTheme="majorHAnsi" w:hAnsiTheme="majorHAnsi"/>
      <w:sz w:val="24"/>
    </w:rPr>
  </w:style>
  <w:style w:type="character" w:customStyle="1" w:styleId="NumberedListChar">
    <w:name w:val="Numbered List Char"/>
    <w:basedOn w:val="ListParagraphChar"/>
    <w:link w:val="NumberedList"/>
    <w:rsid w:val="00A80EF3"/>
    <w:rPr>
      <w:rFonts w:asciiTheme="majorHAnsi" w:hAnsiTheme="majorHAnsi"/>
      <w:sz w:val="24"/>
    </w:rPr>
  </w:style>
  <w:style w:type="character" w:customStyle="1" w:styleId="BulletedListChar">
    <w:name w:val="Bulleted List Char"/>
    <w:basedOn w:val="DefaultParagraphFont"/>
    <w:link w:val="BulletedList"/>
    <w:rsid w:val="00A80EF3"/>
    <w:rPr>
      <w:rFonts w:asciiTheme="majorHAnsi" w:hAnsiTheme="majorHAnsi"/>
      <w:sz w:val="24"/>
    </w:rPr>
  </w:style>
  <w:style w:type="paragraph" w:customStyle="1" w:styleId="Nomenclature">
    <w:name w:val="Nomenclature"/>
    <w:basedOn w:val="Normal"/>
    <w:link w:val="NomenclatureChar"/>
    <w:qFormat/>
    <w:rsid w:val="00A80EF3"/>
    <w:pPr>
      <w:tabs>
        <w:tab w:val="left" w:pos="3600"/>
      </w:tabs>
      <w:spacing w:before="720" w:after="240"/>
      <w:ind w:left="1800" w:firstLine="0"/>
      <w:contextualSpacing/>
    </w:pPr>
  </w:style>
  <w:style w:type="character" w:customStyle="1" w:styleId="NomenclatureChar">
    <w:name w:val="Nomenclature Char"/>
    <w:basedOn w:val="DefaultParagraphFont"/>
    <w:link w:val="Nomenclature"/>
    <w:rsid w:val="00A80EF3"/>
    <w:rPr>
      <w:rFonts w:asciiTheme="majorHAnsi" w:hAnsiTheme="majorHAnsi"/>
      <w:sz w:val="24"/>
    </w:rPr>
  </w:style>
  <w:style w:type="paragraph" w:styleId="NoSpacing">
    <w:name w:val="No Spacing"/>
    <w:uiPriority w:val="1"/>
    <w:qFormat/>
    <w:rsid w:val="00A80EF3"/>
    <w:pPr>
      <w:spacing w:after="0" w:line="240" w:lineRule="auto"/>
    </w:pPr>
  </w:style>
  <w:style w:type="table" w:styleId="PlainTable4">
    <w:name w:val="Plain Table 4"/>
    <w:basedOn w:val="TableNormal"/>
    <w:uiPriority w:val="44"/>
    <w:rsid w:val="00A80EF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80E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A80EF3"/>
    <w:pPr>
      <w:spacing w:before="180" w:after="180" w:line="240" w:lineRule="auto"/>
      <w:ind w:firstLine="0"/>
    </w:pPr>
    <w:rPr>
      <w:rFonts w:asciiTheme="minorHAnsi" w:hAnsiTheme="minorHAnsi"/>
      <w:szCs w:val="24"/>
    </w:rPr>
  </w:style>
  <w:style w:type="character" w:customStyle="1" w:styleId="BodyTextChar">
    <w:name w:val="Body Text Char"/>
    <w:basedOn w:val="DefaultParagraphFont"/>
    <w:link w:val="BodyText"/>
    <w:rsid w:val="00A80EF3"/>
    <w:rPr>
      <w:sz w:val="24"/>
      <w:szCs w:val="24"/>
    </w:rPr>
  </w:style>
  <w:style w:type="paragraph" w:customStyle="1" w:styleId="FirstParagraph">
    <w:name w:val="First Paragraph"/>
    <w:basedOn w:val="BodyText"/>
    <w:next w:val="BodyText"/>
    <w:qFormat/>
    <w:rsid w:val="00A80EF3"/>
  </w:style>
  <w:style w:type="table" w:styleId="PlainTable5">
    <w:name w:val="Plain Table 5"/>
    <w:basedOn w:val="TableNormal"/>
    <w:uiPriority w:val="45"/>
    <w:rsid w:val="00A80EF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A80EF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A80E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22440</Words>
  <Characters>127909</Characters>
  <Application>Microsoft Office Word</Application>
  <DocSecurity>0</DocSecurity>
  <Lines>1065</Lines>
  <Paragraphs>300</Paragraphs>
  <ScaleCrop>false</ScaleCrop>
  <Company/>
  <LinksUpToDate>false</LinksUpToDate>
  <CharactersWithSpaces>150049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Actkinson</dc:creator>
  <cp:keywords/>
  <dc:description/>
  <cp:lastModifiedBy>Blake Actkinson</cp:lastModifiedBy>
  <cp:revision>1</cp:revision>
  <dcterms:created xsi:type="dcterms:W3CDTF">2022-02-14T17:26:00Z</dcterms:created>
  <dcterms:modified xsi:type="dcterms:W3CDTF">2022-02-14T17:28:00Z</dcterms:modified>
</cp:coreProperties>
</file>