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E2DAF" w14:textId="77777777" w:rsidR="003A4EB9" w:rsidRPr="00C95246" w:rsidRDefault="00000000">
      <w:pPr>
        <w:pStyle w:val="Title"/>
        <w:rPr>
          <w:rFonts w:cstheme="majorHAnsi"/>
        </w:rPr>
      </w:pPr>
      <w:r w:rsidRPr="00C95246">
        <w:rPr>
          <w:rFonts w:cstheme="majorHAnsi"/>
        </w:rPr>
        <w:t>HealthConnect Week 7 Project Summary</w:t>
      </w:r>
    </w:p>
    <w:p w14:paraId="4D8B49F2" w14:textId="77777777" w:rsidR="003A4EB9" w:rsidRPr="00C95246" w:rsidRDefault="00000000">
      <w:pPr>
        <w:spacing w:after="280"/>
        <w:rPr>
          <w:rFonts w:asciiTheme="majorHAnsi" w:hAnsiTheme="majorHAnsi" w:cstheme="majorHAnsi"/>
          <w:sz w:val="16"/>
          <w:szCs w:val="16"/>
        </w:rPr>
      </w:pPr>
      <w:r w:rsidRPr="00C95246">
        <w:rPr>
          <w:rFonts w:asciiTheme="majorHAnsi" w:hAnsiTheme="majorHAnsi" w:cstheme="majorHAnsi"/>
          <w:i/>
          <w:sz w:val="16"/>
          <w:szCs w:val="16"/>
        </w:rPr>
        <w:t>Testing refinement and cross track validation | Bada Oluwagbade</w:t>
      </w:r>
    </w:p>
    <w:p w14:paraId="73A0ABAB" w14:textId="77777777" w:rsidR="003A4EB9" w:rsidRPr="00C95246" w:rsidRDefault="00000000">
      <w:pPr>
        <w:rPr>
          <w:rFonts w:asciiTheme="majorHAnsi" w:hAnsiTheme="majorHAnsi" w:cstheme="majorHAnsi"/>
        </w:rPr>
      </w:pPr>
      <w:r w:rsidRPr="00C95246">
        <w:rPr>
          <w:rFonts w:asciiTheme="majorHAnsi" w:hAnsiTheme="majorHAnsi" w:cstheme="majorHAnsi"/>
        </w:rPr>
        <w:t xml:space="preserve">Week 7 focused on testing whether the HealthConnect KPIs, analytical findings and connected Data Science outputs were accurate enough to support operational decisions. The source calculations were reproducible, while dashboard and several model-evidence </w:t>
      </w:r>
      <w:proofErr w:type="gramStart"/>
      <w:r w:rsidRPr="00C95246">
        <w:rPr>
          <w:rFonts w:asciiTheme="majorHAnsi" w:hAnsiTheme="majorHAnsi" w:cstheme="majorHAnsi"/>
        </w:rPr>
        <w:t>checks</w:t>
      </w:r>
      <w:proofErr w:type="gramEnd"/>
      <w:r w:rsidRPr="00C95246">
        <w:rPr>
          <w:rFonts w:asciiTheme="majorHAnsi" w:hAnsiTheme="majorHAnsi" w:cstheme="majorHAnsi"/>
        </w:rPr>
        <w:t xml:space="preserve"> remain pending.</w:t>
      </w:r>
    </w:p>
    <w:p w14:paraId="4BC48ACC" w14:textId="77777777" w:rsidR="00C95246" w:rsidRPr="00C95246" w:rsidRDefault="00C95246">
      <w:pPr>
        <w:rPr>
          <w:rFonts w:asciiTheme="majorHAnsi" w:hAnsiTheme="majorHAnsi" w:cstheme="majorHAnsi"/>
        </w:rPr>
      </w:pPr>
    </w:p>
    <w:tbl>
      <w:tblPr>
        <w:tblW w:w="0" w:type="auto"/>
        <w:tblLayout w:type="fixed"/>
        <w:tblLook w:val="04A0" w:firstRow="1" w:lastRow="0" w:firstColumn="1" w:lastColumn="0" w:noHBand="0" w:noVBand="1"/>
      </w:tblPr>
      <w:tblGrid>
        <w:gridCol w:w="2232"/>
        <w:gridCol w:w="2232"/>
        <w:gridCol w:w="5616"/>
      </w:tblGrid>
      <w:tr w:rsidR="003A4EB9" w:rsidRPr="00C95246" w14:paraId="7BA23BEF" w14:textId="77777777" w:rsidTr="00C95246">
        <w:trPr>
          <w:cantSplit/>
          <w:tblHead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5E6A864" w14:textId="77777777" w:rsidR="003A4EB9" w:rsidRPr="00C95246" w:rsidRDefault="00000000">
            <w:pPr>
              <w:spacing w:after="0" w:line="240" w:lineRule="auto"/>
              <w:jc w:val="center"/>
              <w:rPr>
                <w:rFonts w:asciiTheme="majorHAnsi" w:hAnsiTheme="majorHAnsi" w:cstheme="majorHAnsi"/>
                <w:sz w:val="20"/>
                <w:szCs w:val="20"/>
              </w:rPr>
            </w:pPr>
            <w:r w:rsidRPr="00C95246">
              <w:rPr>
                <w:rFonts w:asciiTheme="majorHAnsi" w:hAnsiTheme="majorHAnsi" w:cstheme="majorHAnsi"/>
                <w:b/>
                <w:sz w:val="20"/>
                <w:szCs w:val="20"/>
              </w:rPr>
              <w:t>Measure</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CD70C79" w14:textId="77777777" w:rsidR="003A4EB9" w:rsidRPr="00C95246" w:rsidRDefault="00000000">
            <w:pPr>
              <w:spacing w:after="0" w:line="240" w:lineRule="auto"/>
              <w:jc w:val="center"/>
              <w:rPr>
                <w:rFonts w:asciiTheme="majorHAnsi" w:hAnsiTheme="majorHAnsi" w:cstheme="majorHAnsi"/>
                <w:sz w:val="20"/>
                <w:szCs w:val="20"/>
              </w:rPr>
            </w:pPr>
            <w:r w:rsidRPr="00C95246">
              <w:rPr>
                <w:rFonts w:asciiTheme="majorHAnsi" w:hAnsiTheme="majorHAnsi" w:cstheme="majorHAnsi"/>
                <w:b/>
                <w:sz w:val="20"/>
                <w:szCs w:val="20"/>
              </w:rPr>
              <w:t>Verified result</w:t>
            </w:r>
          </w:p>
        </w:tc>
        <w:tc>
          <w:tcPr>
            <w:tcW w:w="56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065972" w14:textId="77777777" w:rsidR="003A4EB9" w:rsidRPr="00C95246" w:rsidRDefault="00000000">
            <w:pPr>
              <w:spacing w:after="0" w:line="240" w:lineRule="auto"/>
              <w:jc w:val="center"/>
              <w:rPr>
                <w:rFonts w:asciiTheme="majorHAnsi" w:hAnsiTheme="majorHAnsi" w:cstheme="majorHAnsi"/>
                <w:sz w:val="20"/>
                <w:szCs w:val="20"/>
              </w:rPr>
            </w:pPr>
            <w:r w:rsidRPr="00C95246">
              <w:rPr>
                <w:rFonts w:asciiTheme="majorHAnsi" w:hAnsiTheme="majorHAnsi" w:cstheme="majorHAnsi"/>
                <w:b/>
                <w:sz w:val="20"/>
                <w:szCs w:val="20"/>
              </w:rPr>
              <w:t>Meaning</w:t>
            </w:r>
          </w:p>
        </w:tc>
      </w:tr>
      <w:tr w:rsidR="003A4EB9" w:rsidRPr="00C95246" w14:paraId="286D36B3" w14:textId="77777777" w:rsidTr="00C95246">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E231A5" w14:textId="77777777" w:rsidR="003A4EB9" w:rsidRPr="00C95246" w:rsidRDefault="00000000">
            <w:pPr>
              <w:spacing w:after="0" w:line="240" w:lineRule="auto"/>
              <w:rPr>
                <w:rFonts w:asciiTheme="majorHAnsi" w:hAnsiTheme="majorHAnsi" w:cstheme="majorHAnsi"/>
                <w:sz w:val="20"/>
                <w:szCs w:val="20"/>
              </w:rPr>
            </w:pPr>
            <w:r w:rsidRPr="00C95246">
              <w:rPr>
                <w:rFonts w:asciiTheme="majorHAnsi" w:hAnsiTheme="majorHAnsi" w:cstheme="majorHAnsi"/>
                <w:sz w:val="20"/>
                <w:szCs w:val="20"/>
              </w:rPr>
              <w:t>Eligible appointments</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973720" w14:textId="77777777" w:rsidR="003A4EB9" w:rsidRPr="00C95246" w:rsidRDefault="00000000">
            <w:pPr>
              <w:spacing w:after="0" w:line="240" w:lineRule="auto"/>
              <w:jc w:val="center"/>
              <w:rPr>
                <w:rFonts w:asciiTheme="majorHAnsi" w:hAnsiTheme="majorHAnsi" w:cstheme="majorHAnsi"/>
                <w:sz w:val="20"/>
                <w:szCs w:val="20"/>
              </w:rPr>
            </w:pPr>
            <w:r w:rsidRPr="00C95246">
              <w:rPr>
                <w:rFonts w:asciiTheme="majorHAnsi" w:hAnsiTheme="majorHAnsi" w:cstheme="majorHAnsi"/>
                <w:sz w:val="20"/>
                <w:szCs w:val="20"/>
              </w:rPr>
              <w:t>4,737</w:t>
            </w:r>
          </w:p>
        </w:tc>
        <w:tc>
          <w:tcPr>
            <w:tcW w:w="56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2A723B" w14:textId="77777777" w:rsidR="003A4EB9" w:rsidRPr="00C95246" w:rsidRDefault="00000000">
            <w:pPr>
              <w:spacing w:after="0" w:line="240" w:lineRule="auto"/>
              <w:rPr>
                <w:rFonts w:asciiTheme="majorHAnsi" w:hAnsiTheme="majorHAnsi" w:cstheme="majorHAnsi"/>
                <w:sz w:val="20"/>
                <w:szCs w:val="20"/>
              </w:rPr>
            </w:pPr>
            <w:r w:rsidRPr="00C95246">
              <w:rPr>
                <w:rFonts w:asciiTheme="majorHAnsi" w:hAnsiTheme="majorHAnsi" w:cstheme="majorHAnsi"/>
                <w:sz w:val="20"/>
                <w:szCs w:val="20"/>
              </w:rPr>
              <w:t>Attended plus No-Show; cancellations excluded</w:t>
            </w:r>
          </w:p>
        </w:tc>
      </w:tr>
      <w:tr w:rsidR="003A4EB9" w:rsidRPr="00C95246" w14:paraId="1D14B166" w14:textId="77777777" w:rsidTr="00C95246">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D82EC6" w14:textId="77777777" w:rsidR="003A4EB9" w:rsidRPr="00C95246" w:rsidRDefault="00000000">
            <w:pPr>
              <w:spacing w:after="0" w:line="240" w:lineRule="auto"/>
              <w:rPr>
                <w:rFonts w:asciiTheme="majorHAnsi" w:hAnsiTheme="majorHAnsi" w:cstheme="majorHAnsi"/>
                <w:sz w:val="20"/>
                <w:szCs w:val="20"/>
              </w:rPr>
            </w:pPr>
            <w:r w:rsidRPr="00C95246">
              <w:rPr>
                <w:rFonts w:asciiTheme="majorHAnsi" w:hAnsiTheme="majorHAnsi" w:cstheme="majorHAnsi"/>
                <w:sz w:val="20"/>
                <w:szCs w:val="20"/>
              </w:rPr>
              <w:t>Overall no-show rate</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8708D2" w14:textId="77777777" w:rsidR="003A4EB9" w:rsidRPr="00C95246" w:rsidRDefault="00000000">
            <w:pPr>
              <w:spacing w:after="0" w:line="240" w:lineRule="auto"/>
              <w:jc w:val="center"/>
              <w:rPr>
                <w:rFonts w:asciiTheme="majorHAnsi" w:hAnsiTheme="majorHAnsi" w:cstheme="majorHAnsi"/>
                <w:sz w:val="20"/>
                <w:szCs w:val="20"/>
              </w:rPr>
            </w:pPr>
            <w:r w:rsidRPr="00C95246">
              <w:rPr>
                <w:rFonts w:asciiTheme="majorHAnsi" w:hAnsiTheme="majorHAnsi" w:cstheme="majorHAnsi"/>
                <w:sz w:val="20"/>
                <w:szCs w:val="20"/>
              </w:rPr>
              <w:t>51.15%</w:t>
            </w:r>
          </w:p>
        </w:tc>
        <w:tc>
          <w:tcPr>
            <w:tcW w:w="56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6A1E2E" w14:textId="77777777" w:rsidR="003A4EB9" w:rsidRPr="00C95246" w:rsidRDefault="00000000">
            <w:pPr>
              <w:spacing w:after="0" w:line="240" w:lineRule="auto"/>
              <w:rPr>
                <w:rFonts w:asciiTheme="majorHAnsi" w:hAnsiTheme="majorHAnsi" w:cstheme="majorHAnsi"/>
                <w:sz w:val="20"/>
                <w:szCs w:val="20"/>
              </w:rPr>
            </w:pPr>
            <w:r w:rsidRPr="00C95246">
              <w:rPr>
                <w:rFonts w:asciiTheme="majorHAnsi" w:hAnsiTheme="majorHAnsi" w:cstheme="majorHAnsi"/>
                <w:sz w:val="20"/>
                <w:szCs w:val="20"/>
              </w:rPr>
              <w:t>2,423 of 4,737 eligible appointments</w:t>
            </w:r>
          </w:p>
        </w:tc>
      </w:tr>
      <w:tr w:rsidR="003A4EB9" w:rsidRPr="00C95246" w14:paraId="7A65A271" w14:textId="77777777" w:rsidTr="00C95246">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E669C0" w14:textId="77777777" w:rsidR="003A4EB9" w:rsidRPr="00C95246" w:rsidRDefault="00000000">
            <w:pPr>
              <w:spacing w:after="0" w:line="240" w:lineRule="auto"/>
              <w:rPr>
                <w:rFonts w:asciiTheme="majorHAnsi" w:hAnsiTheme="majorHAnsi" w:cstheme="majorHAnsi"/>
                <w:sz w:val="20"/>
                <w:szCs w:val="20"/>
              </w:rPr>
            </w:pPr>
            <w:r w:rsidRPr="00C95246">
              <w:rPr>
                <w:rFonts w:asciiTheme="majorHAnsi" w:hAnsiTheme="majorHAnsi" w:cstheme="majorHAnsi"/>
                <w:sz w:val="20"/>
                <w:szCs w:val="20"/>
              </w:rPr>
              <w:t>41-60-day no-show rate</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B73C078" w14:textId="77777777" w:rsidR="003A4EB9" w:rsidRPr="00C95246" w:rsidRDefault="00000000">
            <w:pPr>
              <w:spacing w:after="0" w:line="240" w:lineRule="auto"/>
              <w:jc w:val="center"/>
              <w:rPr>
                <w:rFonts w:asciiTheme="majorHAnsi" w:hAnsiTheme="majorHAnsi" w:cstheme="majorHAnsi"/>
                <w:sz w:val="20"/>
                <w:szCs w:val="20"/>
              </w:rPr>
            </w:pPr>
            <w:r w:rsidRPr="00C95246">
              <w:rPr>
                <w:rFonts w:asciiTheme="majorHAnsi" w:hAnsiTheme="majorHAnsi" w:cstheme="majorHAnsi"/>
                <w:sz w:val="20"/>
                <w:szCs w:val="20"/>
              </w:rPr>
              <w:t>68.49%</w:t>
            </w:r>
          </w:p>
        </w:tc>
        <w:tc>
          <w:tcPr>
            <w:tcW w:w="56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AB8DA4" w14:textId="77777777" w:rsidR="003A4EB9" w:rsidRPr="00C95246" w:rsidRDefault="00000000">
            <w:pPr>
              <w:spacing w:after="0" w:line="240" w:lineRule="auto"/>
              <w:rPr>
                <w:rFonts w:asciiTheme="majorHAnsi" w:hAnsiTheme="majorHAnsi" w:cstheme="majorHAnsi"/>
                <w:sz w:val="20"/>
                <w:szCs w:val="20"/>
              </w:rPr>
            </w:pPr>
            <w:r w:rsidRPr="00C95246">
              <w:rPr>
                <w:rFonts w:asciiTheme="majorHAnsi" w:hAnsiTheme="majorHAnsi" w:cstheme="majorHAnsi"/>
                <w:sz w:val="20"/>
                <w:szCs w:val="20"/>
              </w:rPr>
              <w:t>1,028 of 1,501 appointments</w:t>
            </w:r>
          </w:p>
        </w:tc>
      </w:tr>
      <w:tr w:rsidR="003A4EB9" w:rsidRPr="00C95246" w14:paraId="0D200C64" w14:textId="77777777" w:rsidTr="00C95246">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15CF66" w14:textId="77777777" w:rsidR="003A4EB9" w:rsidRPr="00C95246" w:rsidRDefault="00000000">
            <w:pPr>
              <w:spacing w:after="0" w:line="240" w:lineRule="auto"/>
              <w:rPr>
                <w:rFonts w:asciiTheme="majorHAnsi" w:hAnsiTheme="majorHAnsi" w:cstheme="majorHAnsi"/>
                <w:sz w:val="20"/>
                <w:szCs w:val="20"/>
              </w:rPr>
            </w:pPr>
            <w:r w:rsidRPr="00C95246">
              <w:rPr>
                <w:rFonts w:asciiTheme="majorHAnsi" w:hAnsiTheme="majorHAnsi" w:cstheme="majorHAnsi"/>
                <w:sz w:val="20"/>
                <w:szCs w:val="20"/>
              </w:rPr>
              <w:t>Combined segment rate</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C249C1" w14:textId="77777777" w:rsidR="003A4EB9" w:rsidRPr="00C95246" w:rsidRDefault="00000000">
            <w:pPr>
              <w:spacing w:after="0" w:line="240" w:lineRule="auto"/>
              <w:jc w:val="center"/>
              <w:rPr>
                <w:rFonts w:asciiTheme="majorHAnsi" w:hAnsiTheme="majorHAnsi" w:cstheme="majorHAnsi"/>
                <w:sz w:val="20"/>
                <w:szCs w:val="20"/>
              </w:rPr>
            </w:pPr>
            <w:r w:rsidRPr="00C95246">
              <w:rPr>
                <w:rFonts w:asciiTheme="majorHAnsi" w:hAnsiTheme="majorHAnsi" w:cstheme="majorHAnsi"/>
                <w:sz w:val="20"/>
                <w:szCs w:val="20"/>
              </w:rPr>
              <w:t>83.33%</w:t>
            </w:r>
          </w:p>
        </w:tc>
        <w:tc>
          <w:tcPr>
            <w:tcW w:w="56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9458D1" w14:textId="77777777" w:rsidR="003A4EB9" w:rsidRPr="00C95246" w:rsidRDefault="00000000">
            <w:pPr>
              <w:spacing w:after="0" w:line="240" w:lineRule="auto"/>
              <w:rPr>
                <w:rFonts w:asciiTheme="majorHAnsi" w:hAnsiTheme="majorHAnsi" w:cstheme="majorHAnsi"/>
                <w:sz w:val="20"/>
                <w:szCs w:val="20"/>
              </w:rPr>
            </w:pPr>
            <w:r w:rsidRPr="00C95246">
              <w:rPr>
                <w:rFonts w:asciiTheme="majorHAnsi" w:hAnsiTheme="majorHAnsi" w:cstheme="majorHAnsi"/>
                <w:sz w:val="20"/>
                <w:szCs w:val="20"/>
              </w:rPr>
              <w:t>130 of 156 appointments</w:t>
            </w:r>
          </w:p>
        </w:tc>
      </w:tr>
      <w:tr w:rsidR="003A4EB9" w:rsidRPr="00C95246" w14:paraId="6C6EE296" w14:textId="77777777" w:rsidTr="00C95246">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88103A" w14:textId="77777777" w:rsidR="003A4EB9" w:rsidRPr="00C95246" w:rsidRDefault="00000000">
            <w:pPr>
              <w:spacing w:after="0" w:line="240" w:lineRule="auto"/>
              <w:rPr>
                <w:rFonts w:asciiTheme="majorHAnsi" w:hAnsiTheme="majorHAnsi" w:cstheme="majorHAnsi"/>
                <w:sz w:val="20"/>
                <w:szCs w:val="20"/>
              </w:rPr>
            </w:pPr>
            <w:r w:rsidRPr="00C95246">
              <w:rPr>
                <w:rFonts w:asciiTheme="majorHAnsi" w:hAnsiTheme="majorHAnsi" w:cstheme="majorHAnsi"/>
                <w:sz w:val="20"/>
                <w:szCs w:val="20"/>
              </w:rPr>
              <w:t>Refined model performance</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E347E0" w14:textId="77777777" w:rsidR="003A4EB9" w:rsidRPr="00C95246" w:rsidRDefault="00000000">
            <w:pPr>
              <w:spacing w:after="0" w:line="240" w:lineRule="auto"/>
              <w:jc w:val="center"/>
              <w:rPr>
                <w:rFonts w:asciiTheme="majorHAnsi" w:hAnsiTheme="majorHAnsi" w:cstheme="majorHAnsi"/>
                <w:sz w:val="20"/>
                <w:szCs w:val="20"/>
              </w:rPr>
            </w:pPr>
            <w:r w:rsidRPr="00C95246">
              <w:rPr>
                <w:rFonts w:asciiTheme="majorHAnsi" w:hAnsiTheme="majorHAnsi" w:cstheme="majorHAnsi"/>
                <w:sz w:val="20"/>
                <w:szCs w:val="20"/>
              </w:rPr>
              <w:t>Accuracy 0.641; ROC-AUC 0.689</w:t>
            </w:r>
          </w:p>
        </w:tc>
        <w:tc>
          <w:tcPr>
            <w:tcW w:w="56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9494F2A" w14:textId="77777777" w:rsidR="003A4EB9" w:rsidRPr="00C95246" w:rsidRDefault="00000000">
            <w:pPr>
              <w:spacing w:after="0" w:line="240" w:lineRule="auto"/>
              <w:rPr>
                <w:rFonts w:asciiTheme="majorHAnsi" w:hAnsiTheme="majorHAnsi" w:cstheme="majorHAnsi"/>
                <w:sz w:val="20"/>
                <w:szCs w:val="20"/>
              </w:rPr>
            </w:pPr>
            <w:r w:rsidRPr="00C95246">
              <w:rPr>
                <w:rFonts w:asciiTheme="majorHAnsi" w:hAnsiTheme="majorHAnsi" w:cstheme="majorHAnsi"/>
                <w:sz w:val="20"/>
                <w:szCs w:val="20"/>
              </w:rPr>
              <w:t>Data Science reported; four metrics reconciled</w:t>
            </w:r>
          </w:p>
        </w:tc>
      </w:tr>
    </w:tbl>
    <w:p w14:paraId="74F776A5" w14:textId="77777777" w:rsidR="003A4EB9" w:rsidRPr="00C95246" w:rsidRDefault="003A4EB9">
      <w:pPr>
        <w:spacing w:after="0"/>
        <w:rPr>
          <w:rFonts w:asciiTheme="majorHAnsi" w:hAnsiTheme="majorHAnsi" w:cstheme="majorHAnsi"/>
        </w:rPr>
      </w:pPr>
    </w:p>
    <w:p w14:paraId="548F9658" w14:textId="77777777" w:rsidR="003A4EB9" w:rsidRPr="00C95246" w:rsidRDefault="00000000">
      <w:pPr>
        <w:pStyle w:val="Heading1"/>
        <w:rPr>
          <w:rFonts w:cstheme="majorHAnsi"/>
        </w:rPr>
      </w:pPr>
      <w:r w:rsidRPr="00C95246">
        <w:rPr>
          <w:rFonts w:cstheme="majorHAnsi"/>
        </w:rPr>
        <w:t>What was completed</w:t>
      </w:r>
    </w:p>
    <w:p w14:paraId="2387984B" w14:textId="77777777" w:rsidR="003A4EB9" w:rsidRPr="00C95246" w:rsidRDefault="00000000">
      <w:pPr>
        <w:pStyle w:val="ListBullet"/>
        <w:spacing w:after="60"/>
        <w:rPr>
          <w:rFonts w:asciiTheme="majorHAnsi" w:hAnsiTheme="majorHAnsi" w:cstheme="majorHAnsi"/>
        </w:rPr>
      </w:pPr>
      <w:r w:rsidRPr="00C95246">
        <w:rPr>
          <w:rFonts w:asciiTheme="majorHAnsi" w:hAnsiTheme="majorHAnsi" w:cstheme="majorHAnsi"/>
          <w:sz w:val="20"/>
        </w:rPr>
        <w:t>Validated source structure, dates, lead-time boundaries and attendance-history consistency.</w:t>
      </w:r>
    </w:p>
    <w:p w14:paraId="23EA456C" w14:textId="77777777" w:rsidR="003A4EB9" w:rsidRPr="00C95246" w:rsidRDefault="00000000">
      <w:pPr>
        <w:pStyle w:val="ListBullet"/>
        <w:spacing w:after="60"/>
        <w:rPr>
          <w:rFonts w:asciiTheme="majorHAnsi" w:hAnsiTheme="majorHAnsi" w:cstheme="majorHAnsi"/>
        </w:rPr>
      </w:pPr>
      <w:r w:rsidRPr="00C95246">
        <w:rPr>
          <w:rFonts w:asciiTheme="majorHAnsi" w:hAnsiTheme="majorHAnsi" w:cstheme="majorHAnsi"/>
          <w:sz w:val="20"/>
        </w:rPr>
        <w:t>Recalculated the main denominator and appointment KPIs.</w:t>
      </w:r>
    </w:p>
    <w:p w14:paraId="6D760158" w14:textId="77777777" w:rsidR="003A4EB9" w:rsidRPr="00C95246" w:rsidRDefault="00000000">
      <w:pPr>
        <w:pStyle w:val="ListBullet"/>
        <w:spacing w:after="60"/>
        <w:rPr>
          <w:rFonts w:asciiTheme="majorHAnsi" w:hAnsiTheme="majorHAnsi" w:cstheme="majorHAnsi"/>
        </w:rPr>
      </w:pPr>
      <w:r w:rsidRPr="00C95246">
        <w:rPr>
          <w:rFonts w:asciiTheme="majorHAnsi" w:hAnsiTheme="majorHAnsi" w:cstheme="majorHAnsi"/>
          <w:sz w:val="20"/>
        </w:rPr>
        <w:t>Confirmed the 41-60-day and combined high-risk findings with volumes and rates.</w:t>
      </w:r>
    </w:p>
    <w:p w14:paraId="631E8740" w14:textId="77777777" w:rsidR="003A4EB9" w:rsidRPr="00C95246" w:rsidRDefault="00000000">
      <w:pPr>
        <w:pStyle w:val="ListBullet"/>
        <w:spacing w:after="60"/>
        <w:rPr>
          <w:rFonts w:asciiTheme="majorHAnsi" w:hAnsiTheme="majorHAnsi" w:cstheme="majorHAnsi"/>
        </w:rPr>
      </w:pPr>
      <w:r w:rsidRPr="00C95246">
        <w:rPr>
          <w:rFonts w:asciiTheme="majorHAnsi" w:hAnsiTheme="majorHAnsi" w:cstheme="majorHAnsi"/>
          <w:sz w:val="20"/>
        </w:rPr>
        <w:t>Reconciled accuracy, precision, recall and F1 against the supplied confusion matrix.</w:t>
      </w:r>
    </w:p>
    <w:p w14:paraId="25378CE0" w14:textId="77777777" w:rsidR="003A4EB9" w:rsidRPr="00C95246" w:rsidRDefault="00000000">
      <w:pPr>
        <w:pStyle w:val="ListBullet"/>
        <w:spacing w:after="60"/>
        <w:rPr>
          <w:rFonts w:asciiTheme="majorHAnsi" w:hAnsiTheme="majorHAnsi" w:cstheme="majorHAnsi"/>
        </w:rPr>
      </w:pPr>
      <w:r w:rsidRPr="00C95246">
        <w:rPr>
          <w:rFonts w:asciiTheme="majorHAnsi" w:hAnsiTheme="majorHAnsi" w:cstheme="majorHAnsi"/>
          <w:sz w:val="20"/>
        </w:rPr>
        <w:t>Documented cross-track agreements, limitations and Week 8 dependencies.</w:t>
      </w:r>
    </w:p>
    <w:p w14:paraId="5F24330F" w14:textId="77777777" w:rsidR="003A4EB9" w:rsidRPr="00C95246" w:rsidRDefault="00000000">
      <w:pPr>
        <w:pStyle w:val="Heading1"/>
        <w:rPr>
          <w:rFonts w:cstheme="majorHAnsi"/>
        </w:rPr>
      </w:pPr>
      <w:r w:rsidRPr="00C95246">
        <w:rPr>
          <w:rFonts w:cstheme="majorHAnsi"/>
        </w:rPr>
        <w:t>Important refinements and qualifications</w:t>
      </w:r>
    </w:p>
    <w:p w14:paraId="0AC79D72" w14:textId="77777777" w:rsidR="003A4EB9" w:rsidRPr="00C95246" w:rsidRDefault="00000000">
      <w:pPr>
        <w:rPr>
          <w:rFonts w:asciiTheme="majorHAnsi" w:hAnsiTheme="majorHAnsi" w:cstheme="majorHAnsi"/>
        </w:rPr>
      </w:pPr>
      <w:r w:rsidRPr="00C95246">
        <w:rPr>
          <w:rFonts w:asciiTheme="majorHAnsi" w:hAnsiTheme="majorHAnsi" w:cstheme="majorHAnsi"/>
        </w:rPr>
        <w:t>The agreed lead-time bands were used consistently in the validated dataset. The combined segment was treated as a Data Analytics rule, not as a confirmed Data Science feature. Reminder findings were qualified as associations rather than causal effects. Missing-distance handling retained an Unknown category.</w:t>
      </w:r>
    </w:p>
    <w:p w14:paraId="26EFCD79" w14:textId="77777777" w:rsidR="003A4EB9" w:rsidRPr="00C95246" w:rsidRDefault="00000000">
      <w:pPr>
        <w:pStyle w:val="Heading1"/>
        <w:rPr>
          <w:rFonts w:cstheme="majorHAnsi"/>
        </w:rPr>
      </w:pPr>
      <w:r w:rsidRPr="00C95246">
        <w:rPr>
          <w:rFonts w:cstheme="majorHAnsi"/>
        </w:rPr>
        <w:t>Outstanding work</w:t>
      </w:r>
    </w:p>
    <w:p w14:paraId="58AA5121" w14:textId="77777777" w:rsidR="003A4EB9" w:rsidRPr="00C95246" w:rsidRDefault="00000000">
      <w:pPr>
        <w:pStyle w:val="ListBullet"/>
        <w:spacing w:after="60"/>
        <w:rPr>
          <w:rFonts w:asciiTheme="majorHAnsi" w:hAnsiTheme="majorHAnsi" w:cstheme="majorHAnsi"/>
        </w:rPr>
      </w:pPr>
      <w:r w:rsidRPr="00C95246">
        <w:rPr>
          <w:rFonts w:asciiTheme="majorHAnsi" w:hAnsiTheme="majorHAnsi" w:cstheme="majorHAnsi"/>
          <w:sz w:val="20"/>
        </w:rPr>
        <w:t>Reconcile the attached-source count of 86 missing eligible distances with the working-notebook count of 39.</w:t>
      </w:r>
    </w:p>
    <w:p w14:paraId="18F74558" w14:textId="77777777" w:rsidR="003A4EB9" w:rsidRPr="00C95246" w:rsidRDefault="00000000">
      <w:pPr>
        <w:pStyle w:val="ListBullet"/>
        <w:spacing w:after="60"/>
        <w:rPr>
          <w:rFonts w:asciiTheme="majorHAnsi" w:hAnsiTheme="majorHAnsi" w:cstheme="majorHAnsi"/>
        </w:rPr>
      </w:pPr>
      <w:r w:rsidRPr="00C95246">
        <w:rPr>
          <w:rFonts w:asciiTheme="majorHAnsi" w:hAnsiTheme="majorHAnsi" w:cstheme="majorHAnsi"/>
          <w:sz w:val="20"/>
        </w:rPr>
        <w:t>Complete Power BI default, filter, reset, sorting, interaction and refresh tests with screenshots.</w:t>
      </w:r>
    </w:p>
    <w:p w14:paraId="612BF917" w14:textId="77777777" w:rsidR="003A4EB9" w:rsidRPr="00C95246" w:rsidRDefault="00000000">
      <w:pPr>
        <w:pStyle w:val="ListBullet"/>
        <w:spacing w:after="60"/>
        <w:rPr>
          <w:rFonts w:asciiTheme="majorHAnsi" w:hAnsiTheme="majorHAnsi" w:cstheme="majorHAnsi"/>
        </w:rPr>
      </w:pPr>
      <w:r w:rsidRPr="00C95246">
        <w:rPr>
          <w:rFonts w:asciiTheme="majorHAnsi" w:hAnsiTheme="majorHAnsi" w:cstheme="majorHAnsi"/>
          <w:sz w:val="20"/>
        </w:rPr>
        <w:t>Obtain Data Science segment reproduction, distance preprocessing, Brier details and stable prediction IDs.</w:t>
      </w:r>
    </w:p>
    <w:p w14:paraId="6EFFC311" w14:textId="77777777" w:rsidR="003A4EB9" w:rsidRPr="00C95246" w:rsidRDefault="00000000">
      <w:pPr>
        <w:pStyle w:val="ListBullet"/>
        <w:spacing w:after="60"/>
        <w:rPr>
          <w:rFonts w:asciiTheme="majorHAnsi" w:hAnsiTheme="majorHAnsi" w:cstheme="majorHAnsi"/>
        </w:rPr>
      </w:pPr>
      <w:r w:rsidRPr="00C95246">
        <w:rPr>
          <w:rFonts w:asciiTheme="majorHAnsi" w:hAnsiTheme="majorHAnsi" w:cstheme="majorHAnsi"/>
          <w:sz w:val="20"/>
        </w:rPr>
        <w:t>Agree the operational threshold using real capacity and cost assumptions.</w:t>
      </w:r>
    </w:p>
    <w:p w14:paraId="64EB499A" w14:textId="77777777" w:rsidR="003A4EB9" w:rsidRPr="00C95246" w:rsidRDefault="00000000">
      <w:pPr>
        <w:pStyle w:val="Heading1"/>
        <w:rPr>
          <w:rFonts w:cstheme="majorHAnsi"/>
        </w:rPr>
      </w:pPr>
      <w:r w:rsidRPr="00C95246">
        <w:rPr>
          <w:rFonts w:cstheme="majorHAnsi"/>
        </w:rPr>
        <w:t>Week 8 position</w:t>
      </w:r>
    </w:p>
    <w:p w14:paraId="31737E79" w14:textId="77777777" w:rsidR="003A4EB9" w:rsidRPr="00C95246" w:rsidRDefault="00000000">
      <w:pPr>
        <w:rPr>
          <w:rFonts w:asciiTheme="majorHAnsi" w:hAnsiTheme="majorHAnsi" w:cstheme="majorHAnsi"/>
        </w:rPr>
      </w:pPr>
      <w:r w:rsidRPr="00C95246">
        <w:rPr>
          <w:rFonts w:asciiTheme="majorHAnsi" w:hAnsiTheme="majorHAnsi" w:cstheme="majorHAnsi"/>
        </w:rPr>
        <w:t>The analytical findings are ready for descriptive reporting. End-to-end validation remains partially ready until dashboard evidence and the unresolved Data Science dependencies are completed.</w:t>
      </w:r>
    </w:p>
    <w:sectPr w:rsidR="003A4EB9" w:rsidRPr="00C95246"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582EB" w14:textId="77777777" w:rsidR="00F70413" w:rsidRDefault="00F70413">
      <w:pPr>
        <w:spacing w:after="0" w:line="240" w:lineRule="auto"/>
      </w:pPr>
      <w:r>
        <w:separator/>
      </w:r>
    </w:p>
  </w:endnote>
  <w:endnote w:type="continuationSeparator" w:id="0">
    <w:p w14:paraId="2B3651AD" w14:textId="77777777" w:rsidR="00F70413" w:rsidRDefault="00F70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DCC5" w14:textId="77777777" w:rsidR="003A4EB9" w:rsidRDefault="00000000">
    <w:pPr>
      <w:pStyle w:val="Footer"/>
      <w:jc w:val="right"/>
    </w:pPr>
    <w:r>
      <w:rPr>
        <w:color w:val="5D6975"/>
        <w:sz w:val="16"/>
      </w:rPr>
      <w:fldChar w:fldCharType="begin"/>
    </w:r>
    <w:r>
      <w:rPr>
        <w:color w:val="5D6975"/>
        <w:sz w:val="16"/>
      </w:rPr>
      <w:instrText>PAGE</w:instrText>
    </w:r>
    <w:r w:rsidR="00C95246">
      <w:rPr>
        <w:color w:val="5D6975"/>
        <w:sz w:val="16"/>
      </w:rPr>
      <w:fldChar w:fldCharType="separate"/>
    </w:r>
    <w:r w:rsidR="00C95246">
      <w:rPr>
        <w:noProof/>
        <w:color w:val="5D6975"/>
        <w:sz w:val="16"/>
      </w:rPr>
      <w:t>1</w:t>
    </w:r>
    <w:r>
      <w:rPr>
        <w:color w:val="5D697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3D526" w14:textId="77777777" w:rsidR="00F70413" w:rsidRDefault="00F70413">
      <w:pPr>
        <w:spacing w:after="0" w:line="240" w:lineRule="auto"/>
      </w:pPr>
      <w:r>
        <w:separator/>
      </w:r>
    </w:p>
  </w:footnote>
  <w:footnote w:type="continuationSeparator" w:id="0">
    <w:p w14:paraId="3FF6B488" w14:textId="77777777" w:rsidR="00F70413" w:rsidRDefault="00F70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11974">
    <w:abstractNumId w:val="8"/>
  </w:num>
  <w:num w:numId="2" w16cid:durableId="704671789">
    <w:abstractNumId w:val="6"/>
  </w:num>
  <w:num w:numId="3" w16cid:durableId="885262645">
    <w:abstractNumId w:val="5"/>
  </w:num>
  <w:num w:numId="4" w16cid:durableId="197665421">
    <w:abstractNumId w:val="4"/>
  </w:num>
  <w:num w:numId="5" w16cid:durableId="1959949377">
    <w:abstractNumId w:val="7"/>
  </w:num>
  <w:num w:numId="6" w16cid:durableId="297951197">
    <w:abstractNumId w:val="3"/>
  </w:num>
  <w:num w:numId="7" w16cid:durableId="1218594102">
    <w:abstractNumId w:val="2"/>
  </w:num>
  <w:num w:numId="8" w16cid:durableId="398212682">
    <w:abstractNumId w:val="1"/>
  </w:num>
  <w:num w:numId="9" w16cid:durableId="73809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EB9"/>
    <w:rsid w:val="009D17E8"/>
    <w:rsid w:val="00AA1D8D"/>
    <w:rsid w:val="00B47730"/>
    <w:rsid w:val="00C95246"/>
    <w:rsid w:val="00CB0664"/>
    <w:rsid w:val="00F70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73613"/>
  <w14:defaultImageDpi w14:val="300"/>
  <w15:docId w15:val="{13FC79FB-38CE-4846-ACB4-F014A3AA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HealthConnect Week 7 Project Summary</dc:title>
  <dc:subject>HealthConnect Clinic Experience Lab Week 7</dc:subject>
  <dc:creator>Bada Oluwagbade</dc:creator>
  <cp:keywords/>
  <dc:description>generated by python-docx</dc:description>
  <cp:lastModifiedBy>Oluwagbade Bada</cp:lastModifiedBy>
  <cp:revision>2</cp:revision>
  <dcterms:created xsi:type="dcterms:W3CDTF">2013-12-23T23:15:00Z</dcterms:created>
  <dcterms:modified xsi:type="dcterms:W3CDTF">2026-09-29T07:23:00Z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5bfdf070e8fd65eb6f6fd6ca49be67c53073117ec0a0463d2ed9ebdc872e3628</vt:lpwstr>
  </property>
</Properties>
</file>