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33AF" w14:textId="77777777" w:rsidR="00AC08CE" w:rsidRPr="00CC6B18" w:rsidRDefault="00000000" w:rsidP="00CC6B18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  <w:b/>
          <w:sz w:val="44"/>
        </w:rPr>
        <w:t>HealthConnect Week 6 Advanced Analytics &amp; Decision Support Report</w:t>
      </w:r>
    </w:p>
    <w:p w14:paraId="2267ACFF" w14:textId="77777777" w:rsidR="00AC08CE" w:rsidRPr="00CC6B18" w:rsidRDefault="00000000" w:rsidP="00CC6B18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  <w:sz w:val="24"/>
        </w:rPr>
        <w:t>Data Analytics Track | Integration, Advanced Development &amp; Validation</w:t>
      </w:r>
    </w:p>
    <w:p w14:paraId="7E64861A" w14:textId="21BEDA15" w:rsidR="00AC08CE" w:rsidRPr="00CC6B18" w:rsidRDefault="00CC6B18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  <w:b/>
          <w:bCs/>
        </w:rPr>
        <w:t>Prepared By:</w:t>
      </w:r>
      <w:r w:rsidRPr="00CC6B18">
        <w:rPr>
          <w:rFonts w:asciiTheme="majorHAnsi" w:hAnsiTheme="majorHAnsi" w:cstheme="majorHAnsi"/>
        </w:rPr>
        <w:t xml:space="preserve"> Bada Oluwagbade Olaoluwa</w:t>
      </w:r>
    </w:p>
    <w:p w14:paraId="7179A0FB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  <w:b/>
        </w:rPr>
        <w:t xml:space="preserve">Project: </w:t>
      </w:r>
      <w:r w:rsidRPr="00CC6B18">
        <w:rPr>
          <w:rFonts w:asciiTheme="majorHAnsi" w:hAnsiTheme="majorHAnsi" w:cstheme="majorHAnsi"/>
        </w:rPr>
        <w:t>Improving Patient Appointment Attendance and Healthcare Support Using Data and AI</w:t>
      </w:r>
    </w:p>
    <w:p w14:paraId="6221C208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  <w:b/>
        </w:rPr>
        <w:t xml:space="preserve">Primary objective: </w:t>
      </w:r>
      <w:r w:rsidRPr="00CC6B18">
        <w:rPr>
          <w:rFonts w:asciiTheme="majorHAnsi" w:hAnsiTheme="majorHAnsi" w:cstheme="majorHAnsi"/>
        </w:rPr>
        <w:t>Deepen and validate Week 5 findings, integrate Data Science outputs, and translate the combined evidence into decision-support recommendations for HealthConnect.</w:t>
      </w:r>
    </w:p>
    <w:p w14:paraId="3C11DBB2" w14:textId="1525D224" w:rsidR="00AC08CE" w:rsidRPr="00CC6B18" w:rsidRDefault="00000000" w:rsidP="00CC6B18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CC6B18">
        <w:rPr>
          <w:rFonts w:asciiTheme="majorHAnsi" w:hAnsiTheme="majorHAnsi" w:cstheme="majorHAnsi"/>
          <w:b/>
          <w:bCs/>
          <w:sz w:val="32"/>
          <w:szCs w:val="32"/>
        </w:rPr>
        <w:t>Executive Summary</w:t>
      </w:r>
    </w:p>
    <w:p w14:paraId="14261D00" w14:textId="6C2F25D6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Week 6 builds directly on the Week 5 exploratory analysis rather than repeating it. The core no-show KPI was revalidated, lead-time segmentation was refined to align with Data Science work, and the strongest Week 5 factors were tested in combination. Cross-track integration was then completed using model feature outputs, Logistic Regression coefficients</w:t>
      </w:r>
      <w:r w:rsidR="00CC6B18">
        <w:rPr>
          <w:rFonts w:asciiTheme="majorHAnsi" w:hAnsiTheme="majorHAnsi" w:cstheme="majorHAnsi"/>
        </w:rPr>
        <w:t>,</w:t>
      </w:r>
      <w:r w:rsidRPr="00CC6B18">
        <w:rPr>
          <w:rFonts w:asciiTheme="majorHAnsi" w:hAnsiTheme="majorHAnsi" w:cstheme="majorHAnsi"/>
        </w:rPr>
        <w:t xml:space="preserve"> and a model scoring file.</w:t>
      </w:r>
    </w:p>
    <w:p w14:paraId="15333A9B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The strongest Week 6 finding is the interaction between booking lead time and previous no-show history. Appointments booked 41–60 days ahead have a 68.5% observed no-show rate; when that long lead time is combined with 2 or more previous no-shows, the observed rate rises to 83.3% (130 no-shows from 156 eligible appointments). Lead time is also the strongest statistical segment-level association in the dataset.</w:t>
      </w:r>
    </w:p>
    <w:p w14:paraId="695C0939" w14:textId="008F8FB2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The supplied Logistic Regression scoring file achieved approximately 63.6% accuracy, 63.0% precision, 65.8% recall, 64.4% F1</w:t>
      </w:r>
      <w:r w:rsidR="00CC6B18">
        <w:rPr>
          <w:rFonts w:asciiTheme="majorHAnsi" w:hAnsiTheme="majorHAnsi" w:cstheme="majorHAnsi"/>
        </w:rPr>
        <w:t>,</w:t>
      </w:r>
      <w:r w:rsidRPr="00CC6B18">
        <w:rPr>
          <w:rFonts w:asciiTheme="majorHAnsi" w:hAnsiTheme="majorHAnsi" w:cstheme="majorHAnsi"/>
        </w:rPr>
        <w:t xml:space="preserve"> and 68.9% ROC-AUC at the supplied 0.50 classification threshold. The probability scores show useful ranking behaviour: the lowest score decile recorded about 16.5% actual no-shows, while the highest decile recorded about 77.3%. Final operational risk thresholds are not recommended yet because clinic capacity and the relative cost of false positives versus false negatives have not been defined.</w:t>
      </w:r>
    </w:p>
    <w:p w14:paraId="0ADAC366" w14:textId="363ADA39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Week 5 → Week 6 Transition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08CE" w:rsidRPr="00CC6B18" w14:paraId="2124014B" w14:textId="77777777" w:rsidTr="00CC6B18">
        <w:trPr>
          <w:tblHeader/>
          <w:jc w:val="center"/>
        </w:trPr>
        <w:tc>
          <w:tcPr>
            <w:tcW w:w="4968" w:type="dxa"/>
            <w:vAlign w:val="center"/>
          </w:tcPr>
          <w:p w14:paraId="0586E4E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Week 5 foundation</w:t>
            </w:r>
          </w:p>
        </w:tc>
        <w:tc>
          <w:tcPr>
            <w:tcW w:w="4968" w:type="dxa"/>
            <w:vAlign w:val="center"/>
          </w:tcPr>
          <w:p w14:paraId="2308BC1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Week 6 improvement</w:t>
            </w:r>
          </w:p>
        </w:tc>
      </w:tr>
      <w:tr w:rsidR="00AC08CE" w:rsidRPr="00CC6B18" w14:paraId="69A24C47" w14:textId="77777777" w:rsidTr="00CC6B18">
        <w:trPr>
          <w:jc w:val="center"/>
        </w:trPr>
        <w:tc>
          <w:tcPr>
            <w:tcW w:w="4968" w:type="dxa"/>
          </w:tcPr>
          <w:p w14:paraId="7D524C4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Initial EDA and descriptive KPI reporting</w:t>
            </w:r>
          </w:p>
        </w:tc>
        <w:tc>
          <w:tcPr>
            <w:tcW w:w="4968" w:type="dxa"/>
          </w:tcPr>
          <w:p w14:paraId="5945E656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Advanced segment and interaction analysis</w:t>
            </w:r>
          </w:p>
        </w:tc>
      </w:tr>
      <w:tr w:rsidR="00AC08CE" w:rsidRPr="00CC6B18" w14:paraId="44151E41" w14:textId="77777777" w:rsidTr="00CC6B18">
        <w:trPr>
          <w:jc w:val="center"/>
        </w:trPr>
        <w:tc>
          <w:tcPr>
            <w:tcW w:w="4968" w:type="dxa"/>
          </w:tcPr>
          <w:p w14:paraId="1255343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Original lead-time groupings</w:t>
            </w:r>
          </w:p>
        </w:tc>
        <w:tc>
          <w:tcPr>
            <w:tcW w:w="4968" w:type="dxa"/>
          </w:tcPr>
          <w:p w14:paraId="69C19F9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Refined 0–7 / 8–21 / 22–40 / 41–60 bands aligned with Data Science</w:t>
            </w:r>
          </w:p>
        </w:tc>
      </w:tr>
      <w:tr w:rsidR="00AC08CE" w:rsidRPr="00CC6B18" w14:paraId="48E26FEB" w14:textId="77777777" w:rsidTr="00CC6B18">
        <w:trPr>
          <w:jc w:val="center"/>
        </w:trPr>
        <w:tc>
          <w:tcPr>
            <w:tcW w:w="4968" w:type="dxa"/>
          </w:tcPr>
          <w:p w14:paraId="793683BE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Independent Analytics findings</w:t>
            </w:r>
          </w:p>
        </w:tc>
        <w:tc>
          <w:tcPr>
            <w:tcW w:w="4968" w:type="dxa"/>
          </w:tcPr>
          <w:p w14:paraId="3B6911F3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Cross-track model-informed validation and interpretation</w:t>
            </w:r>
          </w:p>
        </w:tc>
      </w:tr>
      <w:tr w:rsidR="00AC08CE" w:rsidRPr="00CC6B18" w14:paraId="19EDDDF2" w14:textId="77777777" w:rsidTr="00CC6B18">
        <w:trPr>
          <w:jc w:val="center"/>
        </w:trPr>
        <w:tc>
          <w:tcPr>
            <w:tcW w:w="4968" w:type="dxa"/>
          </w:tcPr>
          <w:p w14:paraId="31EC5FA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Single-variable findings</w:t>
            </w:r>
          </w:p>
        </w:tc>
        <w:tc>
          <w:tcPr>
            <w:tcW w:w="4968" w:type="dxa"/>
          </w:tcPr>
          <w:p w14:paraId="541DE52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Lead time × history, lead time × reminder, lead time × distance, type × history</w:t>
            </w:r>
          </w:p>
        </w:tc>
      </w:tr>
      <w:tr w:rsidR="00AC08CE" w:rsidRPr="00CC6B18" w14:paraId="412271B4" w14:textId="77777777" w:rsidTr="00CC6B18">
        <w:trPr>
          <w:jc w:val="center"/>
        </w:trPr>
        <w:tc>
          <w:tcPr>
            <w:tcW w:w="4968" w:type="dxa"/>
          </w:tcPr>
          <w:p w14:paraId="5568444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Descriptive dashboard</w:t>
            </w:r>
          </w:p>
        </w:tc>
        <w:tc>
          <w:tcPr>
            <w:tcW w:w="4968" w:type="dxa"/>
          </w:tcPr>
          <w:p w14:paraId="1C108747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Decision-support dashboard with model validation page</w:t>
            </w:r>
          </w:p>
        </w:tc>
      </w:tr>
    </w:tbl>
    <w:p w14:paraId="6170E818" w14:textId="25034E13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Refined Methodology</w:t>
      </w:r>
    </w:p>
    <w:p w14:paraId="4384DB87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The Week 6 methodology follows six stages:</w:t>
      </w:r>
    </w:p>
    <w:p w14:paraId="5AE698B7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lastRenderedPageBreak/>
        <w:t>Revalidate the eligible analytical population: Attended + No-Show. Cancelled appointments remain a separate operational outcome.</w:t>
      </w:r>
    </w:p>
    <w:p w14:paraId="5B7D9A0B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Recalculate the primary KPI and confirm the Week 5 baseline.</w:t>
      </w:r>
    </w:p>
    <w:p w14:paraId="7C8B719B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Refine segment definitions to align Analytics and Data Science workstreams.</w:t>
      </w:r>
    </w:p>
    <w:p w14:paraId="0C9250CE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Validate important relationships using sample size, rate differences, chi-square tests and Cramer's V effect sizes.</w:t>
      </w:r>
    </w:p>
    <w:p w14:paraId="6432AE4C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Conduct interaction analysis to identify higher-impact operational segments.</w:t>
      </w:r>
    </w:p>
    <w:p w14:paraId="0755940C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Integrate model outputs for business interpretation while keeping model evidence separate from causal claims.</w:t>
      </w:r>
    </w:p>
    <w:p w14:paraId="791D3C30" w14:textId="4CE8FDBF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KPI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C08CE" w:rsidRPr="00CC6B18" w14:paraId="1930DAA5" w14:textId="77777777" w:rsidTr="00CC6B18">
        <w:trPr>
          <w:tblHeader/>
          <w:jc w:val="center"/>
        </w:trPr>
        <w:tc>
          <w:tcPr>
            <w:tcW w:w="3312" w:type="dxa"/>
            <w:vAlign w:val="center"/>
          </w:tcPr>
          <w:p w14:paraId="719B079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KPI</w:t>
            </w:r>
          </w:p>
        </w:tc>
        <w:tc>
          <w:tcPr>
            <w:tcW w:w="3312" w:type="dxa"/>
            <w:vAlign w:val="center"/>
          </w:tcPr>
          <w:p w14:paraId="637F9D0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Validated result</w:t>
            </w:r>
          </w:p>
        </w:tc>
        <w:tc>
          <w:tcPr>
            <w:tcW w:w="3312" w:type="dxa"/>
            <w:vAlign w:val="center"/>
          </w:tcPr>
          <w:p w14:paraId="31B8CA2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Interpretation</w:t>
            </w:r>
          </w:p>
        </w:tc>
      </w:tr>
      <w:tr w:rsidR="00AC08CE" w:rsidRPr="00CC6B18" w14:paraId="5D77C888" w14:textId="77777777" w:rsidTr="00CC6B18">
        <w:trPr>
          <w:jc w:val="center"/>
        </w:trPr>
        <w:tc>
          <w:tcPr>
            <w:tcW w:w="3312" w:type="dxa"/>
          </w:tcPr>
          <w:p w14:paraId="0240AB8F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Total appointments</w:t>
            </w:r>
          </w:p>
        </w:tc>
        <w:tc>
          <w:tcPr>
            <w:tcW w:w="3312" w:type="dxa"/>
          </w:tcPr>
          <w:p w14:paraId="0602489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5,000</w:t>
            </w:r>
          </w:p>
        </w:tc>
        <w:tc>
          <w:tcPr>
            <w:tcW w:w="3312" w:type="dxa"/>
          </w:tcPr>
          <w:p w14:paraId="20A7B92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Full appointment dataset</w:t>
            </w:r>
          </w:p>
        </w:tc>
      </w:tr>
      <w:tr w:rsidR="00AC08CE" w:rsidRPr="00CC6B18" w14:paraId="6C759E21" w14:textId="77777777" w:rsidTr="00CC6B18">
        <w:trPr>
          <w:jc w:val="center"/>
        </w:trPr>
        <w:tc>
          <w:tcPr>
            <w:tcW w:w="3312" w:type="dxa"/>
          </w:tcPr>
          <w:p w14:paraId="5754E827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Eligible appointments</w:t>
            </w:r>
          </w:p>
        </w:tc>
        <w:tc>
          <w:tcPr>
            <w:tcW w:w="3312" w:type="dxa"/>
          </w:tcPr>
          <w:p w14:paraId="6F5B011F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4,737</w:t>
            </w:r>
          </w:p>
        </w:tc>
        <w:tc>
          <w:tcPr>
            <w:tcW w:w="3312" w:type="dxa"/>
          </w:tcPr>
          <w:p w14:paraId="1147041E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Attended + No-Show only</w:t>
            </w:r>
          </w:p>
        </w:tc>
      </w:tr>
      <w:tr w:rsidR="00AC08CE" w:rsidRPr="00CC6B18" w14:paraId="2538186E" w14:textId="77777777" w:rsidTr="00CC6B18">
        <w:trPr>
          <w:jc w:val="center"/>
        </w:trPr>
        <w:tc>
          <w:tcPr>
            <w:tcW w:w="3312" w:type="dxa"/>
          </w:tcPr>
          <w:p w14:paraId="774050C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No-shows</w:t>
            </w:r>
          </w:p>
        </w:tc>
        <w:tc>
          <w:tcPr>
            <w:tcW w:w="3312" w:type="dxa"/>
          </w:tcPr>
          <w:p w14:paraId="79678E46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2,423</w:t>
            </w:r>
          </w:p>
        </w:tc>
        <w:tc>
          <w:tcPr>
            <w:tcW w:w="3312" w:type="dxa"/>
          </w:tcPr>
          <w:p w14:paraId="14CA0540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Primary missed-appointment outcome</w:t>
            </w:r>
          </w:p>
        </w:tc>
      </w:tr>
      <w:tr w:rsidR="00AC08CE" w:rsidRPr="00CC6B18" w14:paraId="36E8A32F" w14:textId="77777777" w:rsidTr="00CC6B18">
        <w:trPr>
          <w:jc w:val="center"/>
        </w:trPr>
        <w:tc>
          <w:tcPr>
            <w:tcW w:w="3312" w:type="dxa"/>
          </w:tcPr>
          <w:p w14:paraId="740E05EE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Attended appointments</w:t>
            </w:r>
          </w:p>
        </w:tc>
        <w:tc>
          <w:tcPr>
            <w:tcW w:w="3312" w:type="dxa"/>
          </w:tcPr>
          <w:p w14:paraId="590670B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2,314</w:t>
            </w:r>
          </w:p>
        </w:tc>
        <w:tc>
          <w:tcPr>
            <w:tcW w:w="3312" w:type="dxa"/>
          </w:tcPr>
          <w:p w14:paraId="671F4D6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Eligible attended outcome</w:t>
            </w:r>
          </w:p>
        </w:tc>
      </w:tr>
      <w:tr w:rsidR="00AC08CE" w:rsidRPr="00CC6B18" w14:paraId="6FD1E833" w14:textId="77777777" w:rsidTr="00CC6B18">
        <w:trPr>
          <w:jc w:val="center"/>
        </w:trPr>
        <w:tc>
          <w:tcPr>
            <w:tcW w:w="3312" w:type="dxa"/>
          </w:tcPr>
          <w:p w14:paraId="15C92236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Overall no-show rate</w:t>
            </w:r>
          </w:p>
        </w:tc>
        <w:tc>
          <w:tcPr>
            <w:tcW w:w="3312" w:type="dxa"/>
          </w:tcPr>
          <w:p w14:paraId="603226D1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51.15%</w:t>
            </w:r>
          </w:p>
        </w:tc>
        <w:tc>
          <w:tcPr>
            <w:tcW w:w="3312" w:type="dxa"/>
          </w:tcPr>
          <w:p w14:paraId="7F07F86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Week 5 baseline confirmed</w:t>
            </w:r>
          </w:p>
        </w:tc>
      </w:tr>
      <w:tr w:rsidR="00AC08CE" w:rsidRPr="00CC6B18" w14:paraId="3177D509" w14:textId="77777777" w:rsidTr="00CC6B18">
        <w:trPr>
          <w:jc w:val="center"/>
        </w:trPr>
        <w:tc>
          <w:tcPr>
            <w:tcW w:w="3312" w:type="dxa"/>
          </w:tcPr>
          <w:p w14:paraId="62C5E9B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Cancelled appointments</w:t>
            </w:r>
          </w:p>
        </w:tc>
        <w:tc>
          <w:tcPr>
            <w:tcW w:w="3312" w:type="dxa"/>
          </w:tcPr>
          <w:p w14:paraId="5DA498D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263</w:t>
            </w:r>
          </w:p>
        </w:tc>
        <w:tc>
          <w:tcPr>
            <w:tcW w:w="3312" w:type="dxa"/>
          </w:tcPr>
          <w:p w14:paraId="0E88CEF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Tracked separately</w:t>
            </w:r>
          </w:p>
        </w:tc>
      </w:tr>
      <w:tr w:rsidR="00AC08CE" w:rsidRPr="00CC6B18" w14:paraId="195C08FB" w14:textId="77777777" w:rsidTr="00CC6B18">
        <w:trPr>
          <w:jc w:val="center"/>
        </w:trPr>
        <w:tc>
          <w:tcPr>
            <w:tcW w:w="3312" w:type="dxa"/>
          </w:tcPr>
          <w:p w14:paraId="5D3479CF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Cancellation rate</w:t>
            </w:r>
          </w:p>
        </w:tc>
        <w:tc>
          <w:tcPr>
            <w:tcW w:w="3312" w:type="dxa"/>
          </w:tcPr>
          <w:p w14:paraId="4131D53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5.26%</w:t>
            </w:r>
          </w:p>
        </w:tc>
        <w:tc>
          <w:tcPr>
            <w:tcW w:w="3312" w:type="dxa"/>
          </w:tcPr>
          <w:p w14:paraId="2FCE533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Operational outcome, not part of no-show denominator</w:t>
            </w:r>
          </w:p>
        </w:tc>
      </w:tr>
    </w:tbl>
    <w:p w14:paraId="7AD13309" w14:textId="0954F3D4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Advanced Analysis &amp; Validated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C08CE" w:rsidRPr="00CC6B18" w14:paraId="51B6E109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469FE6C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Finding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F64C8D6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Evidence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879BF90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Business meaning</w:t>
            </w:r>
          </w:p>
        </w:tc>
      </w:tr>
      <w:tr w:rsidR="00AC08CE" w:rsidRPr="00CC6B18" w14:paraId="4250FAA3" w14:textId="77777777">
        <w:trPr>
          <w:jc w:val="center"/>
        </w:trPr>
        <w:tc>
          <w:tcPr>
            <w:tcW w:w="3312" w:type="dxa"/>
          </w:tcPr>
          <w:p w14:paraId="6FE3FB6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Booking lead time</w:t>
            </w:r>
          </w:p>
        </w:tc>
        <w:tc>
          <w:tcPr>
            <w:tcW w:w="3312" w:type="dxa"/>
          </w:tcPr>
          <w:p w14:paraId="18314051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29.5% at 0–7 days → 68.5% at 41–60 days</w:t>
            </w:r>
          </w:p>
        </w:tc>
        <w:tc>
          <w:tcPr>
            <w:tcW w:w="3312" w:type="dxa"/>
          </w:tcPr>
          <w:p w14:paraId="347D346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Strongest ordered pattern; long-lead appointments are the clearest reconfirmation target.</w:t>
            </w:r>
          </w:p>
        </w:tc>
      </w:tr>
      <w:tr w:rsidR="00AC08CE" w:rsidRPr="00CC6B18" w14:paraId="7760C5FF" w14:textId="77777777">
        <w:trPr>
          <w:jc w:val="center"/>
        </w:trPr>
        <w:tc>
          <w:tcPr>
            <w:tcW w:w="3312" w:type="dxa"/>
          </w:tcPr>
          <w:p w14:paraId="37AC0C2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Any previous no-show</w:t>
            </w:r>
          </w:p>
        </w:tc>
        <w:tc>
          <w:tcPr>
            <w:tcW w:w="3312" w:type="dxa"/>
          </w:tcPr>
          <w:p w14:paraId="5E5B9600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57.8% vs 46.3% with no previous no-show</w:t>
            </w:r>
          </w:p>
        </w:tc>
        <w:tc>
          <w:tcPr>
            <w:tcW w:w="3312" w:type="dxa"/>
          </w:tcPr>
          <w:p w14:paraId="7A9669A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Historical behaviour is useful for prioritising supportive outreach.</w:t>
            </w:r>
          </w:p>
        </w:tc>
      </w:tr>
      <w:tr w:rsidR="00AC08CE" w:rsidRPr="00CC6B18" w14:paraId="4B87C8AC" w14:textId="77777777">
        <w:trPr>
          <w:jc w:val="center"/>
        </w:trPr>
        <w:tc>
          <w:tcPr>
            <w:tcW w:w="3312" w:type="dxa"/>
          </w:tcPr>
          <w:p w14:paraId="5698B1A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High previous no-show history</w:t>
            </w:r>
          </w:p>
        </w:tc>
        <w:tc>
          <w:tcPr>
            <w:tcW w:w="3312" w:type="dxa"/>
          </w:tcPr>
          <w:p w14:paraId="3AE47B2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63.5% for 2+ prior no-shows</w:t>
            </w:r>
          </w:p>
        </w:tc>
        <w:tc>
          <w:tcPr>
            <w:tcW w:w="3312" w:type="dxa"/>
          </w:tcPr>
          <w:p w14:paraId="6A549FE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Risk becomes more pronounced when repeated history is used.</w:t>
            </w:r>
          </w:p>
        </w:tc>
      </w:tr>
      <w:tr w:rsidR="00AC08CE" w:rsidRPr="00CC6B18" w14:paraId="2598BA1C" w14:textId="77777777">
        <w:trPr>
          <w:jc w:val="center"/>
        </w:trPr>
        <w:tc>
          <w:tcPr>
            <w:tcW w:w="3312" w:type="dxa"/>
          </w:tcPr>
          <w:p w14:paraId="332A413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Long lead + high history</w:t>
            </w:r>
          </w:p>
        </w:tc>
        <w:tc>
          <w:tcPr>
            <w:tcW w:w="3312" w:type="dxa"/>
          </w:tcPr>
          <w:p w14:paraId="7714561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83.3% for 41–60 days + 2+ prior no-shows (n=156)</w:t>
            </w:r>
          </w:p>
        </w:tc>
        <w:tc>
          <w:tcPr>
            <w:tcW w:w="3312" w:type="dxa"/>
          </w:tcPr>
          <w:p w14:paraId="6238516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Highest-priority validated interaction segment.</w:t>
            </w:r>
          </w:p>
        </w:tc>
      </w:tr>
      <w:tr w:rsidR="00AC08CE" w:rsidRPr="00CC6B18" w14:paraId="3FAD1C22" w14:textId="77777777">
        <w:trPr>
          <w:jc w:val="center"/>
        </w:trPr>
        <w:tc>
          <w:tcPr>
            <w:tcW w:w="3312" w:type="dxa"/>
          </w:tcPr>
          <w:p w14:paraId="6F28932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Distance</w:t>
            </w:r>
          </w:p>
        </w:tc>
        <w:tc>
          <w:tcPr>
            <w:tcW w:w="3312" w:type="dxa"/>
          </w:tcPr>
          <w:p w14:paraId="02A1DD8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60.2% at 20+ km vs 48.6% at &lt;5 km</w:t>
            </w:r>
          </w:p>
        </w:tc>
        <w:tc>
          <w:tcPr>
            <w:tcW w:w="3312" w:type="dxa"/>
          </w:tcPr>
          <w:p w14:paraId="16BBDA2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Travel burden appears relevant, particularly when lead time is long.</w:t>
            </w:r>
          </w:p>
        </w:tc>
      </w:tr>
      <w:tr w:rsidR="00AC08CE" w:rsidRPr="00CC6B18" w14:paraId="36946FD4" w14:textId="77777777">
        <w:trPr>
          <w:jc w:val="center"/>
        </w:trPr>
        <w:tc>
          <w:tcPr>
            <w:tcW w:w="3312" w:type="dxa"/>
          </w:tcPr>
          <w:p w14:paraId="6F1D088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Reminder status</w:t>
            </w:r>
          </w:p>
        </w:tc>
        <w:tc>
          <w:tcPr>
            <w:tcW w:w="3312" w:type="dxa"/>
          </w:tcPr>
          <w:p w14:paraId="47DD54D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54.6% without reminder vs 49.9% with reminder</w:t>
            </w:r>
          </w:p>
        </w:tc>
        <w:tc>
          <w:tcPr>
            <w:tcW w:w="3312" w:type="dxa"/>
          </w:tcPr>
          <w:p w14:paraId="110CE406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Promising operational signal, but causal impact is unproven.</w:t>
            </w:r>
          </w:p>
        </w:tc>
      </w:tr>
      <w:tr w:rsidR="00AC08CE" w:rsidRPr="00CC6B18" w14:paraId="70DE924B" w14:textId="77777777">
        <w:trPr>
          <w:jc w:val="center"/>
        </w:trPr>
        <w:tc>
          <w:tcPr>
            <w:tcW w:w="3312" w:type="dxa"/>
          </w:tcPr>
          <w:p w14:paraId="7792F3F3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Appointment type</w:t>
            </w:r>
          </w:p>
        </w:tc>
        <w:tc>
          <w:tcPr>
            <w:tcW w:w="3312" w:type="dxa"/>
          </w:tcPr>
          <w:p w14:paraId="5BA5AC9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Follow-up 54.2% vs General Consultation 49.1%</w:t>
            </w:r>
          </w:p>
        </w:tc>
        <w:tc>
          <w:tcPr>
            <w:tcW w:w="3312" w:type="dxa"/>
          </w:tcPr>
          <w:p w14:paraId="7DDBB5E8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Follow-up workflow merits review, especially for high-history patients.</w:t>
            </w:r>
          </w:p>
        </w:tc>
      </w:tr>
      <w:tr w:rsidR="00AC08CE" w:rsidRPr="00CC6B18" w14:paraId="3D831354" w14:textId="77777777">
        <w:trPr>
          <w:jc w:val="center"/>
        </w:trPr>
        <w:tc>
          <w:tcPr>
            <w:tcW w:w="3312" w:type="dxa"/>
          </w:tcPr>
          <w:p w14:paraId="259F41C1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Age / day / time</w:t>
            </w:r>
          </w:p>
        </w:tc>
        <w:tc>
          <w:tcPr>
            <w:tcW w:w="3312" w:type="dxa"/>
          </w:tcPr>
          <w:p w14:paraId="69AA625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Relatively small differences</w:t>
            </w:r>
          </w:p>
        </w:tc>
        <w:tc>
          <w:tcPr>
            <w:tcW w:w="3312" w:type="dxa"/>
          </w:tcPr>
          <w:p w14:paraId="488BFD5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Do not use as primary intervention criteria on Week 6 evidence alone.</w:t>
            </w:r>
          </w:p>
        </w:tc>
      </w:tr>
    </w:tbl>
    <w:p w14:paraId="688948BE" w14:textId="0B4F3A05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Statistical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C08CE" w:rsidRPr="00CC6B18" w14:paraId="322A856D" w14:textId="77777777" w:rsidTr="00CC6B18">
        <w:trPr>
          <w:tblHeader/>
          <w:jc w:val="center"/>
        </w:trPr>
        <w:tc>
          <w:tcPr>
            <w:tcW w:w="2484" w:type="dxa"/>
            <w:vAlign w:val="center"/>
          </w:tcPr>
          <w:p w14:paraId="75B888F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Variable</w:t>
            </w:r>
          </w:p>
        </w:tc>
        <w:tc>
          <w:tcPr>
            <w:tcW w:w="2484" w:type="dxa"/>
            <w:vAlign w:val="center"/>
          </w:tcPr>
          <w:p w14:paraId="436AA9A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p-value</w:t>
            </w:r>
          </w:p>
        </w:tc>
        <w:tc>
          <w:tcPr>
            <w:tcW w:w="2484" w:type="dxa"/>
            <w:vAlign w:val="center"/>
          </w:tcPr>
          <w:p w14:paraId="6DFAF0F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Cramer's V</w:t>
            </w:r>
          </w:p>
        </w:tc>
        <w:tc>
          <w:tcPr>
            <w:tcW w:w="2484" w:type="dxa"/>
            <w:vAlign w:val="center"/>
          </w:tcPr>
          <w:p w14:paraId="4EFBEFC7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Assessment</w:t>
            </w:r>
          </w:p>
        </w:tc>
      </w:tr>
      <w:tr w:rsidR="00AC08CE" w:rsidRPr="00CC6B18" w14:paraId="50BA93B2" w14:textId="77777777" w:rsidTr="00CC6B18">
        <w:trPr>
          <w:jc w:val="center"/>
        </w:trPr>
        <w:tc>
          <w:tcPr>
            <w:tcW w:w="2484" w:type="dxa"/>
          </w:tcPr>
          <w:p w14:paraId="244D822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Lead-time band</w:t>
            </w:r>
          </w:p>
        </w:tc>
        <w:tc>
          <w:tcPr>
            <w:tcW w:w="2484" w:type="dxa"/>
          </w:tcPr>
          <w:p w14:paraId="4C87376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&lt;0.001</w:t>
            </w:r>
          </w:p>
        </w:tc>
        <w:tc>
          <w:tcPr>
            <w:tcW w:w="2484" w:type="dxa"/>
          </w:tcPr>
          <w:p w14:paraId="7A64984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0.276</w:t>
            </w:r>
          </w:p>
        </w:tc>
        <w:tc>
          <w:tcPr>
            <w:tcW w:w="2484" w:type="dxa"/>
          </w:tcPr>
          <w:p w14:paraId="0033727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Strongest validated association</w:t>
            </w:r>
          </w:p>
        </w:tc>
      </w:tr>
      <w:tr w:rsidR="00AC08CE" w:rsidRPr="00CC6B18" w14:paraId="2F6A5423" w14:textId="77777777" w:rsidTr="00CC6B18">
        <w:trPr>
          <w:jc w:val="center"/>
        </w:trPr>
        <w:tc>
          <w:tcPr>
            <w:tcW w:w="2484" w:type="dxa"/>
          </w:tcPr>
          <w:p w14:paraId="20C0FF6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Any previous no-show</w:t>
            </w:r>
          </w:p>
        </w:tc>
        <w:tc>
          <w:tcPr>
            <w:tcW w:w="2484" w:type="dxa"/>
          </w:tcPr>
          <w:p w14:paraId="27134F0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&lt;0.001</w:t>
            </w:r>
          </w:p>
        </w:tc>
        <w:tc>
          <w:tcPr>
            <w:tcW w:w="2484" w:type="dxa"/>
          </w:tcPr>
          <w:p w14:paraId="2ACB0733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0.113</w:t>
            </w:r>
          </w:p>
        </w:tc>
        <w:tc>
          <w:tcPr>
            <w:tcW w:w="2484" w:type="dxa"/>
          </w:tcPr>
          <w:p w14:paraId="49DFF297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Meaningful secondary association</w:t>
            </w:r>
          </w:p>
        </w:tc>
      </w:tr>
      <w:tr w:rsidR="00AC08CE" w:rsidRPr="00CC6B18" w14:paraId="07822379" w14:textId="77777777" w:rsidTr="00CC6B18">
        <w:trPr>
          <w:jc w:val="center"/>
        </w:trPr>
        <w:tc>
          <w:tcPr>
            <w:tcW w:w="2484" w:type="dxa"/>
          </w:tcPr>
          <w:p w14:paraId="1D2A8EE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2+ previous no-shows</w:t>
            </w:r>
          </w:p>
        </w:tc>
        <w:tc>
          <w:tcPr>
            <w:tcW w:w="2484" w:type="dxa"/>
          </w:tcPr>
          <w:p w14:paraId="04B99CC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&lt;0.001</w:t>
            </w:r>
          </w:p>
        </w:tc>
        <w:tc>
          <w:tcPr>
            <w:tcW w:w="2484" w:type="dxa"/>
          </w:tcPr>
          <w:p w14:paraId="5FC1064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0.085</w:t>
            </w:r>
          </w:p>
        </w:tc>
        <w:tc>
          <w:tcPr>
            <w:tcW w:w="2484" w:type="dxa"/>
          </w:tcPr>
          <w:p w14:paraId="0B1A357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Useful history segment</w:t>
            </w:r>
          </w:p>
        </w:tc>
      </w:tr>
      <w:tr w:rsidR="00AC08CE" w:rsidRPr="00CC6B18" w14:paraId="7D37B77C" w14:textId="77777777" w:rsidTr="00CC6B18">
        <w:trPr>
          <w:jc w:val="center"/>
        </w:trPr>
        <w:tc>
          <w:tcPr>
            <w:tcW w:w="2484" w:type="dxa"/>
          </w:tcPr>
          <w:p w14:paraId="26979B7F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lastRenderedPageBreak/>
              <w:t>Distance band</w:t>
            </w:r>
          </w:p>
        </w:tc>
        <w:tc>
          <w:tcPr>
            <w:tcW w:w="2484" w:type="dxa"/>
          </w:tcPr>
          <w:p w14:paraId="21351601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&lt;0.001</w:t>
            </w:r>
          </w:p>
        </w:tc>
        <w:tc>
          <w:tcPr>
            <w:tcW w:w="2484" w:type="dxa"/>
          </w:tcPr>
          <w:p w14:paraId="0C99E70E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0.062</w:t>
            </w:r>
          </w:p>
        </w:tc>
        <w:tc>
          <w:tcPr>
            <w:tcW w:w="2484" w:type="dxa"/>
          </w:tcPr>
          <w:p w14:paraId="0741AA87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Small but meaningful</w:t>
            </w:r>
          </w:p>
        </w:tc>
      </w:tr>
      <w:tr w:rsidR="00AC08CE" w:rsidRPr="00CC6B18" w14:paraId="3F64AAA3" w14:textId="77777777" w:rsidTr="00CC6B18">
        <w:trPr>
          <w:jc w:val="center"/>
        </w:trPr>
        <w:tc>
          <w:tcPr>
            <w:tcW w:w="2484" w:type="dxa"/>
          </w:tcPr>
          <w:p w14:paraId="5D8703F6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Reminder sent</w:t>
            </w:r>
          </w:p>
        </w:tc>
        <w:tc>
          <w:tcPr>
            <w:tcW w:w="2484" w:type="dxa"/>
          </w:tcPr>
          <w:p w14:paraId="1FAFCE3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0.0038</w:t>
            </w:r>
          </w:p>
        </w:tc>
        <w:tc>
          <w:tcPr>
            <w:tcW w:w="2484" w:type="dxa"/>
          </w:tcPr>
          <w:p w14:paraId="368698E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0.042</w:t>
            </w:r>
          </w:p>
        </w:tc>
        <w:tc>
          <w:tcPr>
            <w:tcW w:w="2484" w:type="dxa"/>
          </w:tcPr>
          <w:p w14:paraId="64A5957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Small association</w:t>
            </w:r>
          </w:p>
        </w:tc>
      </w:tr>
      <w:tr w:rsidR="00AC08CE" w:rsidRPr="00CC6B18" w14:paraId="4D080BB4" w14:textId="77777777" w:rsidTr="00CC6B18">
        <w:trPr>
          <w:jc w:val="center"/>
        </w:trPr>
        <w:tc>
          <w:tcPr>
            <w:tcW w:w="2484" w:type="dxa"/>
          </w:tcPr>
          <w:p w14:paraId="13F2FAF8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Appointment type</w:t>
            </w:r>
          </w:p>
        </w:tc>
        <w:tc>
          <w:tcPr>
            <w:tcW w:w="2484" w:type="dxa"/>
          </w:tcPr>
          <w:p w14:paraId="6B92C81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0.038</w:t>
            </w:r>
          </w:p>
        </w:tc>
        <w:tc>
          <w:tcPr>
            <w:tcW w:w="2484" w:type="dxa"/>
          </w:tcPr>
          <w:p w14:paraId="79123B6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0.042</w:t>
            </w:r>
          </w:p>
        </w:tc>
        <w:tc>
          <w:tcPr>
            <w:tcW w:w="2484" w:type="dxa"/>
          </w:tcPr>
          <w:p w14:paraId="4B7E72D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Small association</w:t>
            </w:r>
          </w:p>
        </w:tc>
      </w:tr>
      <w:tr w:rsidR="00AC08CE" w:rsidRPr="00CC6B18" w14:paraId="7354F5B2" w14:textId="77777777" w:rsidTr="00CC6B18">
        <w:trPr>
          <w:jc w:val="center"/>
        </w:trPr>
        <w:tc>
          <w:tcPr>
            <w:tcW w:w="2484" w:type="dxa"/>
          </w:tcPr>
          <w:p w14:paraId="48B5C651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Appointment time</w:t>
            </w:r>
          </w:p>
        </w:tc>
        <w:tc>
          <w:tcPr>
            <w:tcW w:w="2484" w:type="dxa"/>
          </w:tcPr>
          <w:p w14:paraId="0085E7A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0.677</w:t>
            </w:r>
          </w:p>
        </w:tc>
        <w:tc>
          <w:tcPr>
            <w:tcW w:w="2484" w:type="dxa"/>
          </w:tcPr>
          <w:p w14:paraId="2C156796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0.013</w:t>
            </w:r>
          </w:p>
        </w:tc>
        <w:tc>
          <w:tcPr>
            <w:tcW w:w="2484" w:type="dxa"/>
          </w:tcPr>
          <w:p w14:paraId="4C339E83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Weak / not statistically meaningful</w:t>
            </w:r>
          </w:p>
        </w:tc>
      </w:tr>
      <w:tr w:rsidR="00AC08CE" w:rsidRPr="00CC6B18" w14:paraId="229756C2" w14:textId="77777777" w:rsidTr="00CC6B18">
        <w:trPr>
          <w:jc w:val="center"/>
        </w:trPr>
        <w:tc>
          <w:tcPr>
            <w:tcW w:w="2484" w:type="dxa"/>
          </w:tcPr>
          <w:p w14:paraId="1D62979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Appointment day</w:t>
            </w:r>
          </w:p>
        </w:tc>
        <w:tc>
          <w:tcPr>
            <w:tcW w:w="2484" w:type="dxa"/>
          </w:tcPr>
          <w:p w14:paraId="6A5F35E1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0.382</w:t>
            </w:r>
          </w:p>
        </w:tc>
        <w:tc>
          <w:tcPr>
            <w:tcW w:w="2484" w:type="dxa"/>
          </w:tcPr>
          <w:p w14:paraId="61A2DC6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0.037</w:t>
            </w:r>
          </w:p>
        </w:tc>
        <w:tc>
          <w:tcPr>
            <w:tcW w:w="2484" w:type="dxa"/>
          </w:tcPr>
          <w:p w14:paraId="3FEDD87F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Weak</w:t>
            </w:r>
          </w:p>
        </w:tc>
      </w:tr>
      <w:tr w:rsidR="00AC08CE" w:rsidRPr="00CC6B18" w14:paraId="024C9C7A" w14:textId="77777777" w:rsidTr="00CC6B18">
        <w:trPr>
          <w:jc w:val="center"/>
        </w:trPr>
        <w:tc>
          <w:tcPr>
            <w:tcW w:w="2484" w:type="dxa"/>
          </w:tcPr>
          <w:p w14:paraId="22E8030E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Age group</w:t>
            </w:r>
          </w:p>
        </w:tc>
        <w:tc>
          <w:tcPr>
            <w:tcW w:w="2484" w:type="dxa"/>
          </w:tcPr>
          <w:p w14:paraId="39C9FAD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0.236</w:t>
            </w:r>
          </w:p>
        </w:tc>
        <w:tc>
          <w:tcPr>
            <w:tcW w:w="2484" w:type="dxa"/>
          </w:tcPr>
          <w:p w14:paraId="14A9D4C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0.038</w:t>
            </w:r>
          </w:p>
        </w:tc>
        <w:tc>
          <w:tcPr>
            <w:tcW w:w="2484" w:type="dxa"/>
          </w:tcPr>
          <w:p w14:paraId="52542CEF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Weak</w:t>
            </w:r>
          </w:p>
        </w:tc>
      </w:tr>
    </w:tbl>
    <w:p w14:paraId="501BAB04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These tests validate patterns within the supplied fictional dataset. They do not establish causal relationships.</w:t>
      </w:r>
    </w:p>
    <w:p w14:paraId="507CA939" w14:textId="555C9A5C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Cross-Track Integration with Data Science</w:t>
      </w:r>
    </w:p>
    <w:p w14:paraId="5974C859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Two Data Science collaborators provided different outputs. One shared a Random Forest candidate summary (feature importance, threshold sweep and partial error analysis). Another shared a refined Logistic Regression coefficient table and a scoring file. Because these may use different preprocessing or test splits, their performance metrics should not be combined or directly ranked unless the underlying evaluation design is confirmed.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C08CE" w:rsidRPr="00CC6B18" w14:paraId="533997F7" w14:textId="77777777" w:rsidTr="00CC6B18">
        <w:trPr>
          <w:tblHeader/>
          <w:jc w:val="center"/>
        </w:trPr>
        <w:tc>
          <w:tcPr>
            <w:tcW w:w="3312" w:type="dxa"/>
            <w:vAlign w:val="center"/>
          </w:tcPr>
          <w:p w14:paraId="7036D39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Analytics finding</w:t>
            </w:r>
          </w:p>
        </w:tc>
        <w:tc>
          <w:tcPr>
            <w:tcW w:w="3312" w:type="dxa"/>
            <w:vAlign w:val="center"/>
          </w:tcPr>
          <w:p w14:paraId="0260898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Data Science evidence</w:t>
            </w:r>
          </w:p>
        </w:tc>
        <w:tc>
          <w:tcPr>
            <w:tcW w:w="3312" w:type="dxa"/>
            <w:vAlign w:val="center"/>
          </w:tcPr>
          <w:p w14:paraId="4C89882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Integrated interpretation</w:t>
            </w:r>
          </w:p>
        </w:tc>
      </w:tr>
      <w:tr w:rsidR="00AC08CE" w:rsidRPr="00CC6B18" w14:paraId="7753B9DC" w14:textId="77777777" w:rsidTr="00CC6B18">
        <w:trPr>
          <w:jc w:val="center"/>
        </w:trPr>
        <w:tc>
          <w:tcPr>
            <w:tcW w:w="3312" w:type="dxa"/>
          </w:tcPr>
          <w:p w14:paraId="6387AE01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Lead time rises sharply with no-show rate</w:t>
            </w:r>
          </w:p>
        </w:tc>
        <w:tc>
          <w:tcPr>
            <w:tcW w:w="3312" w:type="dxa"/>
          </w:tcPr>
          <w:p w14:paraId="672B3CF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Lead-time variables/features are among the strongest model drivers</w:t>
            </w:r>
          </w:p>
        </w:tc>
        <w:tc>
          <w:tcPr>
            <w:tcW w:w="3312" w:type="dxa"/>
          </w:tcPr>
          <w:p w14:paraId="00CDEEE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Highest-confidence shared operational theme.</w:t>
            </w:r>
          </w:p>
        </w:tc>
      </w:tr>
      <w:tr w:rsidR="00AC08CE" w:rsidRPr="00CC6B18" w14:paraId="0FC0D464" w14:textId="77777777" w:rsidTr="00CC6B18">
        <w:trPr>
          <w:jc w:val="center"/>
        </w:trPr>
        <w:tc>
          <w:tcPr>
            <w:tcW w:w="3312" w:type="dxa"/>
          </w:tcPr>
          <w:p w14:paraId="620E1CD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Previous no-show history is higher risk</w:t>
            </w:r>
          </w:p>
        </w:tc>
        <w:tc>
          <w:tcPr>
            <w:tcW w:w="3312" w:type="dxa"/>
          </w:tcPr>
          <w:p w14:paraId="52763DE6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Previous no-show variables have positive predictive influence</w:t>
            </w:r>
          </w:p>
        </w:tc>
        <w:tc>
          <w:tcPr>
            <w:tcW w:w="3312" w:type="dxa"/>
          </w:tcPr>
          <w:p w14:paraId="1D3184D0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History should inform supportive prioritisation.</w:t>
            </w:r>
          </w:p>
        </w:tc>
      </w:tr>
      <w:tr w:rsidR="00AC08CE" w:rsidRPr="00CC6B18" w14:paraId="5F3BA473" w14:textId="77777777" w:rsidTr="00CC6B18">
        <w:trPr>
          <w:jc w:val="center"/>
        </w:trPr>
        <w:tc>
          <w:tcPr>
            <w:tcW w:w="3312" w:type="dxa"/>
          </w:tcPr>
          <w:p w14:paraId="73A0B5F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20+ km group has higher observed rate</w:t>
            </w:r>
          </w:p>
        </w:tc>
        <w:tc>
          <w:tcPr>
            <w:tcW w:w="3312" w:type="dxa"/>
          </w:tcPr>
          <w:p w14:paraId="777213C1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Distance contributes to model prediction</w:t>
            </w:r>
          </w:p>
        </w:tc>
        <w:tc>
          <w:tcPr>
            <w:tcW w:w="3312" w:type="dxa"/>
          </w:tcPr>
          <w:p w14:paraId="6E6CCE8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Access burden is a secondary risk signal.</w:t>
            </w:r>
          </w:p>
        </w:tc>
      </w:tr>
      <w:tr w:rsidR="00AC08CE" w:rsidRPr="00CC6B18" w14:paraId="25B5808E" w14:textId="77777777" w:rsidTr="00CC6B18">
        <w:trPr>
          <w:jc w:val="center"/>
        </w:trPr>
        <w:tc>
          <w:tcPr>
            <w:tcW w:w="3312" w:type="dxa"/>
          </w:tcPr>
          <w:p w14:paraId="0E20AB6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No reminder has higher observed rate</w:t>
            </w:r>
          </w:p>
        </w:tc>
        <w:tc>
          <w:tcPr>
            <w:tcW w:w="3312" w:type="dxa"/>
          </w:tcPr>
          <w:p w14:paraId="165CE0F8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No-reminder/channel terms appear in model outputs</w:t>
            </w:r>
          </w:p>
        </w:tc>
        <w:tc>
          <w:tcPr>
            <w:tcW w:w="3312" w:type="dxa"/>
          </w:tcPr>
          <w:p w14:paraId="042F4D4F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Useful intervention hypothesis; do not claim causality.</w:t>
            </w:r>
          </w:p>
        </w:tc>
      </w:tr>
      <w:tr w:rsidR="00AC08CE" w:rsidRPr="00CC6B18" w14:paraId="3D6E0F86" w14:textId="77777777" w:rsidTr="00CC6B18">
        <w:trPr>
          <w:jc w:val="center"/>
        </w:trPr>
        <w:tc>
          <w:tcPr>
            <w:tcW w:w="3312" w:type="dxa"/>
          </w:tcPr>
          <w:p w14:paraId="3F118B8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Follow-up appointments have moderately higher rate</w:t>
            </w:r>
          </w:p>
        </w:tc>
        <w:tc>
          <w:tcPr>
            <w:tcW w:w="3312" w:type="dxa"/>
          </w:tcPr>
          <w:p w14:paraId="1F234A0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Follow-up contributes modestly in model outputs</w:t>
            </w:r>
          </w:p>
        </w:tc>
        <w:tc>
          <w:tcPr>
            <w:tcW w:w="3312" w:type="dxa"/>
          </w:tcPr>
          <w:p w14:paraId="27DBFC6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Review workflow, especially alongside history.</w:t>
            </w:r>
          </w:p>
        </w:tc>
      </w:tr>
    </w:tbl>
    <w:p w14:paraId="42564BF1" w14:textId="58689DEB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Logistic Regression Scoring-File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08CE" w:rsidRPr="00CC6B18" w14:paraId="04D1D0CE" w14:textId="77777777" w:rsidTr="00CC6B18">
        <w:trPr>
          <w:tblHeader/>
          <w:jc w:val="center"/>
        </w:trPr>
        <w:tc>
          <w:tcPr>
            <w:tcW w:w="4968" w:type="dxa"/>
            <w:vAlign w:val="center"/>
          </w:tcPr>
          <w:p w14:paraId="03AC223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Metric</w:t>
            </w:r>
          </w:p>
        </w:tc>
        <w:tc>
          <w:tcPr>
            <w:tcW w:w="4968" w:type="dxa"/>
            <w:vAlign w:val="center"/>
          </w:tcPr>
          <w:p w14:paraId="7DAA2EC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Result</w:t>
            </w:r>
          </w:p>
        </w:tc>
      </w:tr>
      <w:tr w:rsidR="00AC08CE" w:rsidRPr="00CC6B18" w14:paraId="043F71C1" w14:textId="77777777" w:rsidTr="00CC6B18">
        <w:trPr>
          <w:jc w:val="center"/>
        </w:trPr>
        <w:tc>
          <w:tcPr>
            <w:tcW w:w="4968" w:type="dxa"/>
          </w:tcPr>
          <w:p w14:paraId="00442503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Accuracy</w:t>
            </w:r>
          </w:p>
        </w:tc>
        <w:tc>
          <w:tcPr>
            <w:tcW w:w="4968" w:type="dxa"/>
          </w:tcPr>
          <w:p w14:paraId="514CA41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63.6%</w:t>
            </w:r>
          </w:p>
        </w:tc>
      </w:tr>
      <w:tr w:rsidR="00AC08CE" w:rsidRPr="00CC6B18" w14:paraId="2B334CB5" w14:textId="77777777" w:rsidTr="00CC6B18">
        <w:trPr>
          <w:jc w:val="center"/>
        </w:trPr>
        <w:tc>
          <w:tcPr>
            <w:tcW w:w="4968" w:type="dxa"/>
          </w:tcPr>
          <w:p w14:paraId="10FBBCD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Precision</w:t>
            </w:r>
          </w:p>
        </w:tc>
        <w:tc>
          <w:tcPr>
            <w:tcW w:w="4968" w:type="dxa"/>
          </w:tcPr>
          <w:p w14:paraId="2488B277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63.0%</w:t>
            </w:r>
          </w:p>
        </w:tc>
      </w:tr>
      <w:tr w:rsidR="00AC08CE" w:rsidRPr="00CC6B18" w14:paraId="6D6A577E" w14:textId="77777777" w:rsidTr="00CC6B18">
        <w:trPr>
          <w:jc w:val="center"/>
        </w:trPr>
        <w:tc>
          <w:tcPr>
            <w:tcW w:w="4968" w:type="dxa"/>
          </w:tcPr>
          <w:p w14:paraId="6A128E8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Recall</w:t>
            </w:r>
          </w:p>
        </w:tc>
        <w:tc>
          <w:tcPr>
            <w:tcW w:w="4968" w:type="dxa"/>
          </w:tcPr>
          <w:p w14:paraId="64F3860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65.8%</w:t>
            </w:r>
          </w:p>
        </w:tc>
      </w:tr>
      <w:tr w:rsidR="00AC08CE" w:rsidRPr="00CC6B18" w14:paraId="66354142" w14:textId="77777777" w:rsidTr="00CC6B18">
        <w:trPr>
          <w:jc w:val="center"/>
        </w:trPr>
        <w:tc>
          <w:tcPr>
            <w:tcW w:w="4968" w:type="dxa"/>
          </w:tcPr>
          <w:p w14:paraId="23AB7483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F1 score</w:t>
            </w:r>
          </w:p>
        </w:tc>
        <w:tc>
          <w:tcPr>
            <w:tcW w:w="4968" w:type="dxa"/>
          </w:tcPr>
          <w:p w14:paraId="03A18343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64.4%</w:t>
            </w:r>
          </w:p>
        </w:tc>
      </w:tr>
      <w:tr w:rsidR="00AC08CE" w:rsidRPr="00CC6B18" w14:paraId="56F066C2" w14:textId="77777777" w:rsidTr="00CC6B18">
        <w:trPr>
          <w:jc w:val="center"/>
        </w:trPr>
        <w:tc>
          <w:tcPr>
            <w:tcW w:w="4968" w:type="dxa"/>
          </w:tcPr>
          <w:p w14:paraId="2415695B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ROC-AUC</w:t>
            </w:r>
          </w:p>
        </w:tc>
        <w:tc>
          <w:tcPr>
            <w:tcW w:w="4968" w:type="dxa"/>
          </w:tcPr>
          <w:p w14:paraId="64777C8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68.9%</w:t>
            </w:r>
          </w:p>
        </w:tc>
      </w:tr>
      <w:tr w:rsidR="00AC08CE" w:rsidRPr="00CC6B18" w14:paraId="1C5F3858" w14:textId="77777777" w:rsidTr="00CC6B18">
        <w:trPr>
          <w:jc w:val="center"/>
        </w:trPr>
        <w:tc>
          <w:tcPr>
            <w:tcW w:w="4968" w:type="dxa"/>
          </w:tcPr>
          <w:p w14:paraId="5FA3110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True negatives</w:t>
            </w:r>
          </w:p>
        </w:tc>
        <w:tc>
          <w:tcPr>
            <w:tcW w:w="4968" w:type="dxa"/>
          </w:tcPr>
          <w:p w14:paraId="0DD0BFE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296</w:t>
            </w:r>
          </w:p>
        </w:tc>
      </w:tr>
      <w:tr w:rsidR="00AC08CE" w:rsidRPr="00CC6B18" w14:paraId="7C285EA4" w14:textId="77777777" w:rsidTr="00CC6B18">
        <w:trPr>
          <w:jc w:val="center"/>
        </w:trPr>
        <w:tc>
          <w:tcPr>
            <w:tcW w:w="4968" w:type="dxa"/>
          </w:tcPr>
          <w:p w14:paraId="0C0154A0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False positives</w:t>
            </w:r>
          </w:p>
        </w:tc>
        <w:tc>
          <w:tcPr>
            <w:tcW w:w="4968" w:type="dxa"/>
          </w:tcPr>
          <w:p w14:paraId="2A182AA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187</w:t>
            </w:r>
          </w:p>
        </w:tc>
      </w:tr>
      <w:tr w:rsidR="00AC08CE" w:rsidRPr="00CC6B18" w14:paraId="41DB861C" w14:textId="77777777" w:rsidTr="00CC6B18">
        <w:trPr>
          <w:jc w:val="center"/>
        </w:trPr>
        <w:tc>
          <w:tcPr>
            <w:tcW w:w="4968" w:type="dxa"/>
          </w:tcPr>
          <w:p w14:paraId="33C3B8F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False negatives</w:t>
            </w:r>
          </w:p>
        </w:tc>
        <w:tc>
          <w:tcPr>
            <w:tcW w:w="4968" w:type="dxa"/>
          </w:tcPr>
          <w:p w14:paraId="769B60BF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165</w:t>
            </w:r>
          </w:p>
        </w:tc>
      </w:tr>
      <w:tr w:rsidR="00AC08CE" w:rsidRPr="00CC6B18" w14:paraId="5415C6F8" w14:textId="77777777" w:rsidTr="00CC6B18">
        <w:trPr>
          <w:jc w:val="center"/>
        </w:trPr>
        <w:tc>
          <w:tcPr>
            <w:tcW w:w="4968" w:type="dxa"/>
          </w:tcPr>
          <w:p w14:paraId="1DB4AA6E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True positives</w:t>
            </w:r>
          </w:p>
        </w:tc>
        <w:tc>
          <w:tcPr>
            <w:tcW w:w="4968" w:type="dxa"/>
          </w:tcPr>
          <w:p w14:paraId="36FAF1AA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318</w:t>
            </w:r>
          </w:p>
        </w:tc>
      </w:tr>
    </w:tbl>
    <w:p w14:paraId="627F0B7B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Probability-score validation shows a meaningful ranking gradient: the lowest predicted-probability decile records about 16.5% actual no-shows, while the highest decile records about 77.3%. This supports the score as a prioritisation signal, but does not by itself determine an operational intervention threshold.</w:t>
      </w:r>
    </w:p>
    <w:p w14:paraId="3EE86365" w14:textId="1FD4D278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lastRenderedPageBreak/>
        <w:t>Important Integration Issue</w:t>
      </w:r>
    </w:p>
    <w:p w14:paraId="743A013D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The supplied scoring file uses integer values 0–965 in its `appointment_id` field, while the original HealthConnect dataset uses identifiers such as HC-00001. Therefore the scoring file cannot be safely joined to the original appointment table by appointment ID. The integer field should be treated as a model/test-row identifier only.</w:t>
      </w:r>
    </w:p>
    <w:p w14:paraId="704E8269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Week 7 requirement: Data Science should re-export the scoring file while preserving the true HealthConnect appointment_id and preferably patient_id. This will allow false-positive and false-negative analysis by reminder status, distance, appointment type, lead time and patient history.</w:t>
      </w:r>
    </w:p>
    <w:p w14:paraId="0EEDDCBA" w14:textId="1B2CC0E8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Threshold Decision Support</w:t>
      </w:r>
    </w:p>
    <w:p w14:paraId="5639724F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The model threshold changes both patient coverage and error trade-offs. Lower thresholds increase recall but create more false positives and outreach workload; higher thresholds improve precision but miss more true no-shows. A final threshold should only be selected after stakeholders define the relative cost of a missed no-show, an unnecessary outreach contact and the clinic's practical outreach capacity.</w:t>
      </w:r>
    </w:p>
    <w:p w14:paraId="74E31704" w14:textId="3127F560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Dashboard Improvement Plan</w:t>
      </w:r>
    </w:p>
    <w:p w14:paraId="46F6D7E2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The Week 5 dashboard should be retained as the overview foundation, but Week 6 should add a second page focused on advanced segmentation and model-informed decision support. Low-value visuals such as Age Group and Day of Week should be de-emphasised from the main decision area because their validated associations are weak.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08CE" w:rsidRPr="00CC6B18" w14:paraId="2A695EE9" w14:textId="77777777" w:rsidTr="00CC6B18">
        <w:trPr>
          <w:tblHeader/>
          <w:jc w:val="center"/>
        </w:trPr>
        <w:tc>
          <w:tcPr>
            <w:tcW w:w="4968" w:type="dxa"/>
            <w:vAlign w:val="center"/>
          </w:tcPr>
          <w:p w14:paraId="06C4D471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Dashboard change</w:t>
            </w:r>
          </w:p>
        </w:tc>
        <w:tc>
          <w:tcPr>
            <w:tcW w:w="4968" w:type="dxa"/>
            <w:vAlign w:val="center"/>
          </w:tcPr>
          <w:p w14:paraId="4816B6A3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  <w:b/>
              </w:rPr>
              <w:t>Reason</w:t>
            </w:r>
          </w:p>
        </w:tc>
      </w:tr>
      <w:tr w:rsidR="00AC08CE" w:rsidRPr="00CC6B18" w14:paraId="6547743F" w14:textId="77777777" w:rsidTr="00CC6B18">
        <w:trPr>
          <w:jc w:val="center"/>
        </w:trPr>
        <w:tc>
          <w:tcPr>
            <w:tcW w:w="4968" w:type="dxa"/>
          </w:tcPr>
          <w:p w14:paraId="276AE65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Replace old lead-time bands with 0–7 / 8–21 / 22–40 / 41–60</w:t>
            </w:r>
          </w:p>
        </w:tc>
        <w:tc>
          <w:tcPr>
            <w:tcW w:w="4968" w:type="dxa"/>
          </w:tcPr>
          <w:p w14:paraId="4B144FD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Aligns Analytics and Data Science and reveals a clearer 68.5% long-lead rate.</w:t>
            </w:r>
          </w:p>
        </w:tc>
      </w:tr>
      <w:tr w:rsidR="00AC08CE" w:rsidRPr="00CC6B18" w14:paraId="2DD9B9F3" w14:textId="77777777" w:rsidTr="00CC6B18">
        <w:trPr>
          <w:jc w:val="center"/>
        </w:trPr>
        <w:tc>
          <w:tcPr>
            <w:tcW w:w="4968" w:type="dxa"/>
          </w:tcPr>
          <w:p w14:paraId="014374E0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Add Lead Time × Previous History matrix</w:t>
            </w:r>
          </w:p>
        </w:tc>
        <w:tc>
          <w:tcPr>
            <w:tcW w:w="4968" w:type="dxa"/>
          </w:tcPr>
          <w:p w14:paraId="13E75CA4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Shows compounding risk and the 83.3% priority segment.</w:t>
            </w:r>
          </w:p>
        </w:tc>
      </w:tr>
      <w:tr w:rsidR="00AC08CE" w:rsidRPr="00CC6B18" w14:paraId="5A7FFBBE" w14:textId="77777777" w:rsidTr="00CC6B18">
        <w:trPr>
          <w:jc w:val="center"/>
        </w:trPr>
        <w:tc>
          <w:tcPr>
            <w:tcW w:w="4968" w:type="dxa"/>
          </w:tcPr>
          <w:p w14:paraId="14BF715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Add Lead Time × Reminder chart</w:t>
            </w:r>
          </w:p>
        </w:tc>
        <w:tc>
          <w:tcPr>
            <w:tcW w:w="4968" w:type="dxa"/>
          </w:tcPr>
          <w:p w14:paraId="0F6CC2F5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Shows reminder-associated difference within comparable lead bands.</w:t>
            </w:r>
          </w:p>
        </w:tc>
      </w:tr>
      <w:tr w:rsidR="00AC08CE" w:rsidRPr="00CC6B18" w14:paraId="5A9E80E5" w14:textId="77777777" w:rsidTr="00CC6B18">
        <w:trPr>
          <w:jc w:val="center"/>
        </w:trPr>
        <w:tc>
          <w:tcPr>
            <w:tcW w:w="4968" w:type="dxa"/>
          </w:tcPr>
          <w:p w14:paraId="7AE99C32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Add Distance visual</w:t>
            </w:r>
          </w:p>
        </w:tc>
        <w:tc>
          <w:tcPr>
            <w:tcW w:w="4968" w:type="dxa"/>
          </w:tcPr>
          <w:p w14:paraId="6F1A2F89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Distance is more useful than age/day/time for decision support.</w:t>
            </w:r>
          </w:p>
        </w:tc>
      </w:tr>
      <w:tr w:rsidR="00AC08CE" w:rsidRPr="00CC6B18" w14:paraId="5E1D2DCA" w14:textId="77777777" w:rsidTr="00CC6B18">
        <w:trPr>
          <w:jc w:val="center"/>
        </w:trPr>
        <w:tc>
          <w:tcPr>
            <w:tcW w:w="4968" w:type="dxa"/>
          </w:tcPr>
          <w:p w14:paraId="0DC3C136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Add a Model Validation page</w:t>
            </w:r>
          </w:p>
        </w:tc>
        <w:tc>
          <w:tcPr>
            <w:tcW w:w="4968" w:type="dxa"/>
          </w:tcPr>
          <w:p w14:paraId="29D7FD4D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Makes cross-track integration visible and auditable.</w:t>
            </w:r>
          </w:p>
        </w:tc>
      </w:tr>
      <w:tr w:rsidR="00AC08CE" w:rsidRPr="00CC6B18" w14:paraId="4AC887B8" w14:textId="77777777" w:rsidTr="00CC6B18">
        <w:trPr>
          <w:jc w:val="center"/>
        </w:trPr>
        <w:tc>
          <w:tcPr>
            <w:tcW w:w="4968" w:type="dxa"/>
          </w:tcPr>
          <w:p w14:paraId="20728EC7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Add model metric cards and probability-decile validation</w:t>
            </w:r>
          </w:p>
        </w:tc>
        <w:tc>
          <w:tcPr>
            <w:tcW w:w="4968" w:type="dxa"/>
          </w:tcPr>
          <w:p w14:paraId="65DC2D73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Translates predictive output into stakeholder-friendly evidence.</w:t>
            </w:r>
          </w:p>
        </w:tc>
      </w:tr>
      <w:tr w:rsidR="00AC08CE" w:rsidRPr="00CC6B18" w14:paraId="4799C89D" w14:textId="77777777" w:rsidTr="00CC6B18">
        <w:trPr>
          <w:jc w:val="center"/>
        </w:trPr>
        <w:tc>
          <w:tcPr>
            <w:tcW w:w="4968" w:type="dxa"/>
          </w:tcPr>
          <w:p w14:paraId="0A0B69C0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Add threshold trade-off visual</w:t>
            </w:r>
          </w:p>
        </w:tc>
        <w:tc>
          <w:tcPr>
            <w:tcW w:w="4968" w:type="dxa"/>
          </w:tcPr>
          <w:p w14:paraId="72E49E4C" w14:textId="77777777" w:rsidR="00AC08CE" w:rsidRPr="00CC6B18" w:rsidRDefault="00000000">
            <w:pPr>
              <w:rPr>
                <w:rFonts w:asciiTheme="majorHAnsi" w:hAnsiTheme="majorHAnsi" w:cstheme="majorHAnsi"/>
              </w:rPr>
            </w:pPr>
            <w:r w:rsidRPr="00CC6B18">
              <w:rPr>
                <w:rFonts w:asciiTheme="majorHAnsi" w:hAnsiTheme="majorHAnsi" w:cstheme="majorHAnsi"/>
              </w:rPr>
              <w:t>Shows operational consequences without prematurely declaring a risk threshold.</w:t>
            </w:r>
          </w:p>
        </w:tc>
      </w:tr>
    </w:tbl>
    <w:p w14:paraId="71B20460" w14:textId="77777777" w:rsidR="00AC08CE" w:rsidRPr="00CC6B18" w:rsidRDefault="00000000">
      <w:pPr>
        <w:pStyle w:val="Heading1"/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12. Evidence-Based Recommendations</w:t>
      </w:r>
    </w:p>
    <w:p w14:paraId="555ED2CE" w14:textId="77777777" w:rsidR="00AC08CE" w:rsidRPr="00CC6B18" w:rsidRDefault="00000000" w:rsidP="00CC6B18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Prioritise reconfirmation for appointments scheduled 41–60 days in advance.</w:t>
      </w:r>
    </w:p>
    <w:p w14:paraId="31CA1376" w14:textId="77777777" w:rsidR="00AC08CE" w:rsidRPr="00CC6B18" w:rsidRDefault="00000000" w:rsidP="00CC6B18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Test a focused intervention for patients with both long lead times and repeated previous no-shows.</w:t>
      </w:r>
    </w:p>
    <w:p w14:paraId="30595B8D" w14:textId="77777777" w:rsidR="00AC08CE" w:rsidRPr="00CC6B18" w:rsidRDefault="00000000" w:rsidP="00CC6B18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Use previous no-show history to prioritise supportive outreach, not to deny or restrict access.</w:t>
      </w:r>
    </w:p>
    <w:p w14:paraId="6F1A0736" w14:textId="77777777" w:rsidR="00AC08CE" w:rsidRPr="00CC6B18" w:rsidRDefault="00000000" w:rsidP="00CC6B18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Test reminder timing/channel through a controlled pilot before claiming a causal effect.</w:t>
      </w:r>
    </w:p>
    <w:p w14:paraId="54939E66" w14:textId="77777777" w:rsidR="00AC08CE" w:rsidRPr="00CC6B18" w:rsidRDefault="00000000" w:rsidP="00CC6B18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Consider additional support for patients travelling 20+ km, particularly when appointments are booked far in advance.</w:t>
      </w:r>
    </w:p>
    <w:p w14:paraId="3E308B97" w14:textId="77777777" w:rsidR="00AC08CE" w:rsidRPr="00CC6B18" w:rsidRDefault="00000000" w:rsidP="00CC6B18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Keep age, appointment day and appointment time as contextual variables rather than primary intervention rules.</w:t>
      </w:r>
    </w:p>
    <w:p w14:paraId="67680635" w14:textId="77777777" w:rsidR="00AC08CE" w:rsidRPr="00CC6B18" w:rsidRDefault="00000000" w:rsidP="00CC6B18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lastRenderedPageBreak/>
        <w:t>Use predictive probability as a ranking signal only until operational thresholds are agreed.</w:t>
      </w:r>
    </w:p>
    <w:p w14:paraId="1CC2FDBE" w14:textId="4558D213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Limitations, Risks &amp; Dependencies</w:t>
      </w:r>
    </w:p>
    <w:p w14:paraId="7F8D175E" w14:textId="77777777" w:rsidR="00AC08CE" w:rsidRPr="00CC6B18" w:rsidRDefault="00000000">
      <w:pPr>
        <w:pStyle w:val="ListBullet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Fictional and anonymised data limits generalisation to a real clinic.</w:t>
      </w:r>
    </w:p>
    <w:p w14:paraId="62C67DF0" w14:textId="77777777" w:rsidR="00AC08CE" w:rsidRPr="00CC6B18" w:rsidRDefault="00000000">
      <w:pPr>
        <w:pStyle w:val="ListBullet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Observational analysis does not establish causation.</w:t>
      </w:r>
    </w:p>
    <w:p w14:paraId="73DA45B6" w14:textId="77777777" w:rsidR="00AC08CE" w:rsidRPr="00CC6B18" w:rsidRDefault="00000000">
      <w:pPr>
        <w:pStyle w:val="ListBullet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Reminder assignment may be non-random.</w:t>
      </w:r>
    </w:p>
    <w:p w14:paraId="17B15C0B" w14:textId="77777777" w:rsidR="00AC08CE" w:rsidRPr="00CC6B18" w:rsidRDefault="00000000">
      <w:pPr>
        <w:pStyle w:val="ListBullet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Distance contains limited missing values.</w:t>
      </w:r>
    </w:p>
    <w:p w14:paraId="0A24CE78" w14:textId="77777777" w:rsidR="00AC08CE" w:rsidRPr="00CC6B18" w:rsidRDefault="00000000">
      <w:pPr>
        <w:pStyle w:val="ListBullet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Some shared engineered-feature definitions were described as 'likely' rather than confirmed from source code.</w:t>
      </w:r>
    </w:p>
    <w:p w14:paraId="4111751C" w14:textId="77777777" w:rsidR="00AC08CE" w:rsidRPr="00CC6B18" w:rsidRDefault="00000000">
      <w:pPr>
        <w:pStyle w:val="ListBullet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The Logistic Regression scoring export does not retain the true HealthConnect appointment identifier.</w:t>
      </w:r>
    </w:p>
    <w:p w14:paraId="55C690C2" w14:textId="77777777" w:rsidR="00AC08CE" w:rsidRPr="00CC6B18" w:rsidRDefault="00000000">
      <w:pPr>
        <w:pStyle w:val="ListBullet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Different Data Science model outputs may use different train/test configurations.</w:t>
      </w:r>
    </w:p>
    <w:p w14:paraId="3DAC374C" w14:textId="77777777" w:rsidR="00AC08CE" w:rsidRPr="00CC6B18" w:rsidRDefault="00000000">
      <w:pPr>
        <w:pStyle w:val="ListBullet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Final Low/Medium/High operational risk tiers are not yet defined.</w:t>
      </w:r>
    </w:p>
    <w:p w14:paraId="12D229C4" w14:textId="7174CE15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Week 7 Analytical Testing Requirements</w:t>
      </w:r>
    </w:p>
    <w:p w14:paraId="2398FECD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Obtain a scoring export with true appointment_id and patient_id.</w:t>
      </w:r>
    </w:p>
    <w:p w14:paraId="3F73B399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Confirm exact engineered-feature definitions from source code.</w:t>
      </w:r>
    </w:p>
    <w:p w14:paraId="54BDC61A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Analyse false positives and false negatives by lead time, reminder status, distance, appointment type and history.</w:t>
      </w:r>
    </w:p>
    <w:p w14:paraId="0F65C544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Agree an operational cost/capacity framework for threshold selection.</w:t>
      </w:r>
    </w:p>
    <w:p w14:paraId="4E4D71CE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Validate Power BI measures against notebook outputs.</w:t>
      </w:r>
    </w:p>
    <w:p w14:paraId="0C13DD35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Test the stability of the long-lead + repeated-history segment.</w:t>
      </w:r>
    </w:p>
    <w:p w14:paraId="7119E6E9" w14:textId="77777777" w:rsidR="00AC08CE" w:rsidRPr="00CC6B18" w:rsidRDefault="00000000">
      <w:pPr>
        <w:pStyle w:val="ListNumber"/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Compare predicted probability ranking with actual no-show outcomes on a consistent holdout population.</w:t>
      </w:r>
    </w:p>
    <w:p w14:paraId="09BC5C61" w14:textId="4D3A0B03" w:rsidR="00AC08CE" w:rsidRPr="00CC6B18" w:rsidRDefault="00000000" w:rsidP="00CC6B18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C6B18">
        <w:rPr>
          <w:rFonts w:cstheme="majorHAnsi"/>
          <w:color w:val="auto"/>
        </w:rPr>
        <w:t>Conclusion</w:t>
      </w:r>
    </w:p>
    <w:p w14:paraId="1A309FBA" w14:textId="77777777" w:rsidR="00AC08CE" w:rsidRPr="00CC6B18" w:rsidRDefault="00000000">
      <w:pPr>
        <w:rPr>
          <w:rFonts w:asciiTheme="majorHAnsi" w:hAnsiTheme="majorHAnsi" w:cstheme="majorHAnsi"/>
        </w:rPr>
      </w:pPr>
      <w:r w:rsidRPr="00CC6B18">
        <w:rPr>
          <w:rFonts w:asciiTheme="majorHAnsi" w:hAnsiTheme="majorHAnsi" w:cstheme="majorHAnsi"/>
        </w:rPr>
        <w:t>Week 6 advances the HealthConnect Analytics work from descriptive reporting to integrated decision support. Lead time and previous no-show history remain the clearest shared signals across Analytics and Data Science. The strongest operational segment identified is the combination of 41–60 day booking lead time and 2+ previous no-shows, with an observed no-show rate of 83.3%. The model scoring output also demonstrates useful risk ranking, but threshold selection and row-level error analysis should remain Week 7 tasks after the data interface is corrected.</w:t>
      </w:r>
    </w:p>
    <w:sectPr w:rsidR="00AC08CE" w:rsidRPr="00CC6B1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A4A39"/>
    <w:multiLevelType w:val="hybridMultilevel"/>
    <w:tmpl w:val="70AABA6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222867"/>
    <w:multiLevelType w:val="hybridMultilevel"/>
    <w:tmpl w:val="38E863D0"/>
    <w:lvl w:ilvl="0" w:tplc="200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D05CAB"/>
    <w:multiLevelType w:val="hybridMultilevel"/>
    <w:tmpl w:val="D112189A"/>
    <w:lvl w:ilvl="0" w:tplc="200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3261553">
    <w:abstractNumId w:val="8"/>
  </w:num>
  <w:num w:numId="2" w16cid:durableId="1508253966">
    <w:abstractNumId w:val="6"/>
  </w:num>
  <w:num w:numId="3" w16cid:durableId="103160879">
    <w:abstractNumId w:val="5"/>
  </w:num>
  <w:num w:numId="4" w16cid:durableId="1764495591">
    <w:abstractNumId w:val="4"/>
  </w:num>
  <w:num w:numId="5" w16cid:durableId="1314410632">
    <w:abstractNumId w:val="7"/>
  </w:num>
  <w:num w:numId="6" w16cid:durableId="1011493306">
    <w:abstractNumId w:val="3"/>
  </w:num>
  <w:num w:numId="7" w16cid:durableId="1059211408">
    <w:abstractNumId w:val="2"/>
  </w:num>
  <w:num w:numId="8" w16cid:durableId="1916284051">
    <w:abstractNumId w:val="1"/>
  </w:num>
  <w:num w:numId="9" w16cid:durableId="411246428">
    <w:abstractNumId w:val="0"/>
  </w:num>
  <w:num w:numId="10" w16cid:durableId="941108076">
    <w:abstractNumId w:val="10"/>
  </w:num>
  <w:num w:numId="11" w16cid:durableId="444034506">
    <w:abstractNumId w:val="11"/>
  </w:num>
  <w:num w:numId="12" w16cid:durableId="9783885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08CE"/>
    <w:rsid w:val="00B47730"/>
    <w:rsid w:val="00CB0664"/>
    <w:rsid w:val="00CB5D5D"/>
    <w:rsid w:val="00CC6B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3FF75"/>
  <w14:defaultImageDpi w14:val="300"/>
  <w15:docId w15:val="{EA2005E4-664D-4943-8B43-4A896EF6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1724</Words>
  <Characters>9830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Oluwagbade Bada</cp:lastModifiedBy>
  <cp:revision>2</cp:revision>
  <dcterms:created xsi:type="dcterms:W3CDTF">2013-12-23T23:15:00Z</dcterms:created>
  <dcterms:modified xsi:type="dcterms:W3CDTF">2026-09-15T07:49:00Z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69d9a12e-7a68-4cfa-b612-c58557fa64b0</vt:lpwstr>
  </property>
</Properties>
</file>