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B1CD" w14:textId="77777777" w:rsidR="00AB40DA" w:rsidRPr="00C70962" w:rsidRDefault="00000000">
      <w:pPr>
        <w:jc w:val="center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  <w:b/>
          <w:sz w:val="44"/>
        </w:rPr>
        <w:t>HealthConnect Week 6 Cross-Track Integration Evidence</w:t>
      </w:r>
    </w:p>
    <w:p w14:paraId="0AD6F50B" w14:textId="77777777" w:rsidR="00AB40DA" w:rsidRPr="00C70962" w:rsidRDefault="00000000">
      <w:pPr>
        <w:jc w:val="center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  <w:sz w:val="24"/>
        </w:rPr>
        <w:t>Data Analytics ↔ Data Science</w:t>
      </w:r>
    </w:p>
    <w:p w14:paraId="73836C4D" w14:textId="77777777" w:rsidR="00AB40DA" w:rsidRPr="00C70962" w:rsidRDefault="00AB40DA">
      <w:pPr>
        <w:rPr>
          <w:rFonts w:asciiTheme="majorHAnsi" w:hAnsiTheme="majorHAnsi" w:cstheme="majorHAnsi"/>
        </w:rPr>
      </w:pPr>
    </w:p>
    <w:p w14:paraId="13DEC6DA" w14:textId="3EC18707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Track collaborated with</w:t>
      </w:r>
    </w:p>
    <w:p w14:paraId="647F5CDB" w14:textId="77777777" w:rsidR="00AB40DA" w:rsidRPr="00C70962" w:rsidRDefault="00000000">
      <w:pPr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Data Science.</w:t>
      </w:r>
    </w:p>
    <w:p w14:paraId="051A183A" w14:textId="72CD49A3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 xml:space="preserve"> Project dependency</w:t>
      </w:r>
    </w:p>
    <w:p w14:paraId="5520144E" w14:textId="77777777" w:rsidR="00AB40DA" w:rsidRPr="00C70962" w:rsidRDefault="00000000">
      <w:pPr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The Data Science models require business-relevant feature and segment evidence, while the Data Analytics dashboard benefits from model outputs that show which factors contribute to predictive risk and how well probability scores separate no-shows from attendance.</w:t>
      </w:r>
    </w:p>
    <w:p w14:paraId="4AB7C6C2" w14:textId="472DE520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Information/output received</w:t>
      </w:r>
    </w:p>
    <w:p w14:paraId="0750D2D4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Random Forest candidate feature importance and threshold/error-analysis summary.</w:t>
      </w:r>
    </w:p>
    <w:p w14:paraId="42B4B408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Signed Logistic Regression coefficient file.</w:t>
      </w:r>
    </w:p>
    <w:p w14:paraId="296B6668" w14:textId="6236C1BD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Logistic Regression test-set scoring file containing actual outcome, predicted probability</w:t>
      </w:r>
      <w:r w:rsidR="00C70962" w:rsidRPr="00C70962">
        <w:rPr>
          <w:rFonts w:asciiTheme="majorHAnsi" w:hAnsiTheme="majorHAnsi" w:cstheme="majorHAnsi"/>
        </w:rPr>
        <w:t>,</w:t>
      </w:r>
      <w:r w:rsidRPr="00C70962">
        <w:rPr>
          <w:rFonts w:asciiTheme="majorHAnsi" w:hAnsiTheme="majorHAnsi" w:cstheme="majorHAnsi"/>
        </w:rPr>
        <w:t xml:space="preserve"> and predicted class.</w:t>
      </w:r>
    </w:p>
    <w:p w14:paraId="184472E9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Initial guidance that final operational Low/Medium/High thresholds require stakeholder cost/capacity input.</w:t>
      </w:r>
    </w:p>
    <w:p w14:paraId="14F900EE" w14:textId="5490D5B1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Information/output provided</w:t>
      </w:r>
    </w:p>
    <w:p w14:paraId="2FA56B5A" w14:textId="4EAD9E30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Validated no-show rates by lead time, previous no-show history, reminders, distance</w:t>
      </w:r>
      <w:r w:rsidR="00C70962" w:rsidRPr="00C70962">
        <w:rPr>
          <w:rFonts w:asciiTheme="majorHAnsi" w:hAnsiTheme="majorHAnsi" w:cstheme="majorHAnsi"/>
        </w:rPr>
        <w:t>,</w:t>
      </w:r>
      <w:r w:rsidRPr="00C70962">
        <w:rPr>
          <w:rFonts w:asciiTheme="majorHAnsi" w:hAnsiTheme="majorHAnsi" w:cstheme="majorHAnsi"/>
        </w:rPr>
        <w:t xml:space="preserve"> and appointment type.</w:t>
      </w:r>
    </w:p>
    <w:p w14:paraId="78141AB5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Advanced interaction findings including lead time × previous history, lead time × reminder, lead time × distance and type × history.</w:t>
      </w:r>
    </w:p>
    <w:p w14:paraId="365188BE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Statistical validation showing lead time as the strongest segment-level association.</w:t>
      </w:r>
    </w:p>
    <w:p w14:paraId="70F7A595" w14:textId="77777777" w:rsidR="00AB40DA" w:rsidRPr="00C70962" w:rsidRDefault="00000000">
      <w:pPr>
        <w:pStyle w:val="ListBullet"/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Business interpretation and recommended priority segments for feature refinement/error analysis.</w:t>
      </w:r>
    </w:p>
    <w:p w14:paraId="679826AF" w14:textId="07706693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Integration activity completed</w:t>
      </w:r>
    </w:p>
    <w:p w14:paraId="5310F498" w14:textId="77777777" w:rsidR="00AB40DA" w:rsidRPr="00C70962" w:rsidRDefault="00000000">
      <w:pPr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Data Science outputs were used to prioritise Week 6 Analytics investigations. Analytics then tested the model-related factors in the raw appointment data and translated model scoring behaviour into stakeholder-friendly decision-support outputs.</w:t>
      </w:r>
    </w:p>
    <w:p w14:paraId="4C845012" w14:textId="41677C80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What changed as a result</w:t>
      </w:r>
    </w:p>
    <w:p w14:paraId="0B00AF1D" w14:textId="77777777" w:rsidR="00AB40DA" w:rsidRPr="00C70962" w:rsidRDefault="00000000">
      <w:pPr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The Week 6 dashboard/report now focuses on validated high-impact segments rather than giving equal weight to every variable. Lead time and previous no-show history became the main decision-support story. The integration also revealed an interface problem: the scoring export does not retain the true HealthConnect appointment ID, so row-level operational model error analysis is deferred to Week 7.</w:t>
      </w:r>
    </w:p>
    <w:p w14:paraId="344AA694" w14:textId="3EF499F5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lastRenderedPageBreak/>
        <w:t>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B40DA" w:rsidRPr="00C70962" w14:paraId="28715324" w14:textId="77777777" w:rsidTr="00C70962">
        <w:trPr>
          <w:tblHeader/>
          <w:jc w:val="center"/>
        </w:trPr>
        <w:tc>
          <w:tcPr>
            <w:tcW w:w="4968" w:type="dxa"/>
            <w:vAlign w:val="center"/>
          </w:tcPr>
          <w:p w14:paraId="2EE55AB3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  <w:b/>
              </w:rPr>
              <w:t>Evidence item</w:t>
            </w:r>
          </w:p>
        </w:tc>
        <w:tc>
          <w:tcPr>
            <w:tcW w:w="4968" w:type="dxa"/>
            <w:vAlign w:val="center"/>
          </w:tcPr>
          <w:p w14:paraId="2FD56430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  <w:b/>
              </w:rPr>
              <w:t>Result</w:t>
            </w:r>
          </w:p>
        </w:tc>
      </w:tr>
      <w:tr w:rsidR="00AB40DA" w:rsidRPr="00C70962" w14:paraId="780DCF23" w14:textId="77777777" w:rsidTr="00C70962">
        <w:trPr>
          <w:jc w:val="center"/>
        </w:trPr>
        <w:tc>
          <w:tcPr>
            <w:tcW w:w="4968" w:type="dxa"/>
          </w:tcPr>
          <w:p w14:paraId="1E8F4D6B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Refined lead-time analysis</w:t>
            </w:r>
          </w:p>
        </w:tc>
        <w:tc>
          <w:tcPr>
            <w:tcW w:w="4968" w:type="dxa"/>
          </w:tcPr>
          <w:p w14:paraId="7A99C454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41–60 days = 68.5% no-show rate</w:t>
            </w:r>
          </w:p>
        </w:tc>
      </w:tr>
      <w:tr w:rsidR="00AB40DA" w:rsidRPr="00C70962" w14:paraId="49A020CF" w14:textId="77777777" w:rsidTr="00C70962">
        <w:trPr>
          <w:jc w:val="center"/>
        </w:trPr>
        <w:tc>
          <w:tcPr>
            <w:tcW w:w="4968" w:type="dxa"/>
          </w:tcPr>
          <w:p w14:paraId="44D05F09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Interaction analysis</w:t>
            </w:r>
          </w:p>
        </w:tc>
        <w:tc>
          <w:tcPr>
            <w:tcW w:w="4968" w:type="dxa"/>
          </w:tcPr>
          <w:p w14:paraId="08DAB6B6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41–60 days + 2+ prior no-shows = 83.3%</w:t>
            </w:r>
          </w:p>
        </w:tc>
      </w:tr>
      <w:tr w:rsidR="00AB40DA" w:rsidRPr="00C70962" w14:paraId="00AEFA83" w14:textId="77777777" w:rsidTr="00C70962">
        <w:trPr>
          <w:jc w:val="center"/>
        </w:trPr>
        <w:tc>
          <w:tcPr>
            <w:tcW w:w="4968" w:type="dxa"/>
          </w:tcPr>
          <w:p w14:paraId="1F1783FC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Reminder interaction</w:t>
            </w:r>
          </w:p>
        </w:tc>
        <w:tc>
          <w:tcPr>
            <w:tcW w:w="4968" w:type="dxa"/>
          </w:tcPr>
          <w:p w14:paraId="642F2BC4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Reminder-associated rate is lower within every lead-time band</w:t>
            </w:r>
          </w:p>
        </w:tc>
      </w:tr>
      <w:tr w:rsidR="00AB40DA" w:rsidRPr="00C70962" w14:paraId="7491348C" w14:textId="77777777" w:rsidTr="00C70962">
        <w:trPr>
          <w:jc w:val="center"/>
        </w:trPr>
        <w:tc>
          <w:tcPr>
            <w:tcW w:w="4968" w:type="dxa"/>
          </w:tcPr>
          <w:p w14:paraId="53CD342D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Distance interaction</w:t>
            </w:r>
          </w:p>
        </w:tc>
        <w:tc>
          <w:tcPr>
            <w:tcW w:w="4968" w:type="dxa"/>
          </w:tcPr>
          <w:p w14:paraId="02579239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20+ km remains elevated, including 72.9% at 41–60 days</w:t>
            </w:r>
          </w:p>
        </w:tc>
      </w:tr>
      <w:tr w:rsidR="00AB40DA" w:rsidRPr="00C70962" w14:paraId="73809F8F" w14:textId="77777777" w:rsidTr="00C70962">
        <w:trPr>
          <w:jc w:val="center"/>
        </w:trPr>
        <w:tc>
          <w:tcPr>
            <w:tcW w:w="4968" w:type="dxa"/>
          </w:tcPr>
          <w:p w14:paraId="0199E6A3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Model scoring validation</w:t>
            </w:r>
          </w:p>
        </w:tc>
        <w:tc>
          <w:tcPr>
            <w:tcW w:w="4968" w:type="dxa"/>
          </w:tcPr>
          <w:p w14:paraId="0831A481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ROC-AUC ≈ 68.9%; lowest score decile ≈16.5% actual no-shows, highest ≈77.3%</w:t>
            </w:r>
          </w:p>
        </w:tc>
      </w:tr>
      <w:tr w:rsidR="00AB40DA" w:rsidRPr="00C70962" w14:paraId="2E97880B" w14:textId="77777777" w:rsidTr="00C70962">
        <w:trPr>
          <w:jc w:val="center"/>
        </w:trPr>
        <w:tc>
          <w:tcPr>
            <w:tcW w:w="4968" w:type="dxa"/>
          </w:tcPr>
          <w:p w14:paraId="28762D38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Integration issue log</w:t>
            </w:r>
          </w:p>
        </w:tc>
        <w:tc>
          <w:tcPr>
            <w:tcW w:w="4968" w:type="dxa"/>
          </w:tcPr>
          <w:p w14:paraId="58B18DBE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Scoring integer ID cannot be joined to original HC appointment ID</w:t>
            </w:r>
          </w:p>
        </w:tc>
      </w:tr>
      <w:tr w:rsidR="00AB40DA" w:rsidRPr="00C70962" w14:paraId="1F5AA494" w14:textId="77777777" w:rsidTr="00C70962">
        <w:trPr>
          <w:jc w:val="center"/>
        </w:trPr>
        <w:tc>
          <w:tcPr>
            <w:tcW w:w="4968" w:type="dxa"/>
          </w:tcPr>
          <w:p w14:paraId="064AD58E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Dashboard artefact</w:t>
            </w:r>
          </w:p>
        </w:tc>
        <w:tc>
          <w:tcPr>
            <w:tcW w:w="4968" w:type="dxa"/>
          </w:tcPr>
          <w:p w14:paraId="7FEF6DF7" w14:textId="77777777" w:rsidR="00AB40DA" w:rsidRPr="00C70962" w:rsidRDefault="00000000">
            <w:pPr>
              <w:rPr>
                <w:rFonts w:asciiTheme="majorHAnsi" w:hAnsiTheme="majorHAnsi" w:cstheme="majorHAnsi"/>
              </w:rPr>
            </w:pPr>
            <w:r w:rsidRPr="00C70962">
              <w:rPr>
                <w:rFonts w:asciiTheme="majorHAnsi" w:hAnsiTheme="majorHAnsi" w:cstheme="majorHAnsi"/>
              </w:rPr>
              <w:t>Week 6 dashboard input workbook and two-page redesign plan</w:t>
            </w:r>
          </w:p>
        </w:tc>
      </w:tr>
    </w:tbl>
    <w:p w14:paraId="73688160" w14:textId="77777777" w:rsidR="00AB40DA" w:rsidRPr="00C70962" w:rsidRDefault="00000000" w:rsidP="00C70962">
      <w:pPr>
        <w:pStyle w:val="Heading1"/>
        <w:numPr>
          <w:ilvl w:val="0"/>
          <w:numId w:val="10"/>
        </w:numPr>
        <w:rPr>
          <w:rFonts w:cstheme="majorHAnsi"/>
          <w:color w:val="auto"/>
        </w:rPr>
      </w:pPr>
      <w:r w:rsidRPr="00C70962">
        <w:rPr>
          <w:rFonts w:cstheme="majorHAnsi"/>
          <w:color w:val="auto"/>
        </w:rPr>
        <w:t>Integration conclusion</w:t>
      </w:r>
    </w:p>
    <w:p w14:paraId="0B38483F" w14:textId="73C2C8E8" w:rsidR="00AB40DA" w:rsidRPr="00C70962" w:rsidRDefault="00000000">
      <w:pPr>
        <w:rPr>
          <w:rFonts w:asciiTheme="majorHAnsi" w:hAnsiTheme="majorHAnsi" w:cstheme="majorHAnsi"/>
        </w:rPr>
      </w:pPr>
      <w:r w:rsidRPr="00C70962">
        <w:rPr>
          <w:rFonts w:asciiTheme="majorHAnsi" w:hAnsiTheme="majorHAnsi" w:cstheme="majorHAnsi"/>
        </w:rPr>
        <w:t>The collaboration produced a measurable change in the Analytics output: Week 6 moved from descriptive EDA to advanced segmentation, model-informed validation</w:t>
      </w:r>
      <w:r w:rsidR="00C70962">
        <w:rPr>
          <w:rFonts w:asciiTheme="majorHAnsi" w:hAnsiTheme="majorHAnsi" w:cstheme="majorHAnsi"/>
        </w:rPr>
        <w:t>,</w:t>
      </w:r>
      <w:r w:rsidRPr="00C70962">
        <w:rPr>
          <w:rFonts w:asciiTheme="majorHAnsi" w:hAnsiTheme="majorHAnsi" w:cstheme="majorHAnsi"/>
        </w:rPr>
        <w:t xml:space="preserve"> and a documented testing plan for the next project stage.</w:t>
      </w:r>
    </w:p>
    <w:sectPr w:rsidR="00AB40DA" w:rsidRPr="00C7096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800B3"/>
    <w:multiLevelType w:val="hybridMultilevel"/>
    <w:tmpl w:val="55B43272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7580737">
    <w:abstractNumId w:val="8"/>
  </w:num>
  <w:num w:numId="2" w16cid:durableId="23990598">
    <w:abstractNumId w:val="6"/>
  </w:num>
  <w:num w:numId="3" w16cid:durableId="1538009941">
    <w:abstractNumId w:val="5"/>
  </w:num>
  <w:num w:numId="4" w16cid:durableId="561067474">
    <w:abstractNumId w:val="4"/>
  </w:num>
  <w:num w:numId="5" w16cid:durableId="68158543">
    <w:abstractNumId w:val="7"/>
  </w:num>
  <w:num w:numId="6" w16cid:durableId="1217546211">
    <w:abstractNumId w:val="3"/>
  </w:num>
  <w:num w:numId="7" w16cid:durableId="520631507">
    <w:abstractNumId w:val="2"/>
  </w:num>
  <w:num w:numId="8" w16cid:durableId="277612197">
    <w:abstractNumId w:val="1"/>
  </w:num>
  <w:num w:numId="9" w16cid:durableId="2088964564">
    <w:abstractNumId w:val="0"/>
  </w:num>
  <w:num w:numId="10" w16cid:durableId="1183664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650"/>
    <w:rsid w:val="00AA1D8D"/>
    <w:rsid w:val="00AB40DA"/>
    <w:rsid w:val="00B47730"/>
    <w:rsid w:val="00C709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B5B0A"/>
  <w14:defaultImageDpi w14:val="300"/>
  <w15:docId w15:val="{96CFBAA3-70F6-470A-A3DB-9A655195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Oluwagbade Bada</cp:lastModifiedBy>
  <cp:revision>2</cp:revision>
  <dcterms:created xsi:type="dcterms:W3CDTF">2013-12-23T23:15:00Z</dcterms:created>
  <dcterms:modified xsi:type="dcterms:W3CDTF">2026-09-15T07:35:00Z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d6016227-7f70-4479-bd86-1530df3670a0</vt:lpwstr>
  </property>
</Properties>
</file>