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long-term vision is to help businesses create and maximize both economic and social value, shaping a future where organizations thrive while making the world a better place. While I laid the foundation for this at PeopleGamez, scaling globally highlighted key gaps in my expertise; limited exposure to corporate diversification, regulatory frameworks, and large-scale transformation projects occasionally restricted opportunities to extend engagements. Additionally, my self-taught financial management skills, while sufficient for bootstrapping, underscored the need for structured frameworks to manage growth sustainably.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bridge these gaps, I’ve built a track record of delivering measurable impact in ambiguous, high-stakes environments. ___________-These experiences sharpened my ability to drive organizational alignment, navigate complex stakeholder landscapes, and create systems that deliver lasting results.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now seek to bring this entrepreneurial insight and strategic rigor to a forward-thinking organization. My goal is to continue learning from global peers, tackling complex challenges, and growing into a leader who empowers businesses</w:t>
      </w:r>
      <w:r w:rsidDel="00000000" w:rsidR="00000000" w:rsidRPr="00000000">
        <w:rPr>
          <w:sz w:val="24"/>
          <w:szCs w:val="24"/>
          <w:rtl w:val="0"/>
        </w:rPr>
        <w:t xml:space="preserve"> align purpose with growth and societal impact.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 I would welcome the opportunity to discuss how my skills, entrepreneurial mindset, and dedication to meaningful impact can contribute to your team’s success.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  <w:br w:type="textWrapping"/>
        <w:t xml:space="preserve">Vikas Badami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