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both"/>
        <w:rPr>
          <w:rFonts w:ascii="Times New Roman" w:cs="Times New Roman" w:eastAsia="Times New Roman" w:hAnsi="Times New Roman"/>
          <w:b w:val="1"/>
          <w:bCs w:val="1"/>
        </w:rPr>
      </w:pPr>
      <w:bookmarkStart w:colFirst="0" w:colLast="0" w:name="_3thmyi317mlf" w:id="0"/>
      <w:bookmarkEnd w:id="0"/>
      <w:r w:rsidDel="00000000" w:rsidR="00000000" w:rsidRPr="00000000">
        <w:rPr>
          <w:rFonts w:ascii="Times New Roman" w:cs="Times New Roman" w:eastAsia="Times New Roman" w:hAnsi="Times New Roman"/>
          <w:b w:val="1"/>
          <w:bCs w:val="1"/>
          <w:rtl w:val="0"/>
        </w:rPr>
        <w:t xml:space="preserve">A. Why are you interested in a study abroad option?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has over 70 million SMEs, with over 25% of owners citing a lack of interest from the next generation to take over. This creates a supply of boring-but-profitable businesses ripe for acquisition at lower EBITDA multiples due to inefficient markets and a lack of a mature Entrepreneurship Through Acquisition (ETA) ecosystem. My journey has uniquely prepared me to leverage this.</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OpenTech, I learned stakeholder management as I led 22 volunteers and persuaded parents, schools, and NGOs to drive a grassroots movement that empowered 10,000 students to create practical tech solutions like IoT farms and cattle trackers. Running PeopleGamez (MetaXP Pvt. Ltd.) strengthened my command over financial and strategic levers as I managed cash flows through a near-bankruptcy, drove a turnaround to profitability with multiple pivots, and expanded to seven countries.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 when my father passed away, despite pursuing my MBA here in the USA, I am assisting my mother to rebuild his business by spending nights after my class, optimizing processes, introducing lightweight tech systems, and rebuilding distributor relationships. These experiences, combined with my industrial engineering and AI background, crystallized my desire to become an Acquisition Entrepreneur.</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specifically chose the WashU MBA because of its position as a hub for ETA. Engaging with ETA alumni (Walker Diebel, Matt, Jeff), consulting on an acquisition roadmap for Sentinel Imports through the CEL Practicum, attending ETA club seminars and searcher meetups, and working closely with ETA and PE professors as a Peer Tutor and TA, I internalized the American acquisition playbook and deepened my understanding of leveraged finance and seller psychology.</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institutional voids, informal labor markets, and extreme regulatory complexity of India’s business environment mean that what works in resource-optimized U.S. markets often needs to be rethought. An average Indian firm faces over 1,000 compliance requirements compared to under 50 in the U.S., exemplifying why contextualizing the ETA model is a necessity. I view IIM Calcutta, with its legendary finance rigor, gritty entrepreneurial jugaad, and deep dives into family business transitions, as the critical bridge between U.S. ETA frameworks and India’s SME reality. Kolkata, the jute capital of the world, home to India's second-largest MSME cluster (10% of national units), India's largest leather hub, and Bengal Silicon Valley Hub, with a 60% informal workforce, offers the perfect living laboratory for this adaptation.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WashU provided me with the cultural diversity of a global classroom and the financial engineering behind modeling a leveraged buyout, IIM-C complements by building the contextual intelligence, valuation precision, and institutional fluency that define its alumni network. I will immerse myself in the IIM Calcutta Case Research Center, dissecting Indian succession dramas and buyout battles to refine my term-sheet instincts and negotiation edge. On returning to WashU, I plan to apply these learnings during my OPT by working with a private equity firm or search fund to gain operational exposure to post-acquisition transitions, integration management, and fund-level reporting.</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strategic alignment, an exchange at IIM-C serves a profound personal necessity. The sudden demise of my father has irrevocably altered our family. An exchange semester allows me to bridge the geographic distance, so we can heal and rebuild together what my father's loss broke. It would also fulfill a childhood dream of witnessing Kolkata’s famous Durga Puja and Navaratri.</w:t>
      </w:r>
    </w:p>
    <w:p w:rsidR="00000000" w:rsidDel="00000000" w:rsidP="00000000" w:rsidRDefault="00000000" w:rsidRPr="00000000" w14:paraId="0000000F">
      <w:pPr>
        <w:pStyle w:val="Heading2"/>
        <w:jc w:val="both"/>
        <w:rPr>
          <w:rFonts w:ascii="Times New Roman" w:cs="Times New Roman" w:eastAsia="Times New Roman" w:hAnsi="Times New Roman"/>
          <w:b w:val="1"/>
          <w:bCs w:val="1"/>
        </w:rPr>
      </w:pPr>
      <w:bookmarkStart w:colFirst="0" w:colLast="0" w:name="_iz72ee2khy2f" w:id="1"/>
      <w:bookmarkEnd w:id="1"/>
      <w:r w:rsidDel="00000000" w:rsidR="00000000" w:rsidRPr="00000000">
        <w:rPr>
          <w:rFonts w:ascii="Times New Roman" w:cs="Times New Roman" w:eastAsia="Times New Roman" w:hAnsi="Times New Roman"/>
          <w:b w:val="1"/>
          <w:bCs w:val="1"/>
          <w:rtl w:val="0"/>
        </w:rPr>
        <w:t xml:space="preserve">B. How will studying abroad help you achieve your career goals?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goal is to acquire and scale a series of small and medium businesses (SMBs) through the ETA model. To achieve this, I must develop a dual competency: a nuanced understanding of the American ETA playbook, which I have secured at WashU, and a deep-rooted fluency in the Indian landscape for which IIM Calcutta provides three essential ingredients.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Academic Resources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IIM Calcutta provides the ideal platform to extend the ETA and LBO frameworks I learned at WashU to India’s regulatory frictions and capital market volatilities. </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leverage the Financial Research and Trading Lab’s (FRTL) XSTrade simulators and NSE Cogencis study markets. I will integrate EPWRF data on agriculture, industry, and wages with Capitaline to build sector-specific acquisition screens that reflect liquidity constraints, working capital cycles, and promoter behavior. Through FRTL’s Artha Journal, I will refine accounting and governance insights to structure term sheets for family-owned SMEs with high information asymmetry and audit risk.</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Electives such as Ashok Banerjee’s Mergers, Acquisitions, and Corporate Restructuring (MACR) and Biswatosh Saha’s Family Business Management will help me model legacy transitions while balancing empathy for family owners. Conversations with IIMC alumni, including my mentor Sugato Guha, highlighted the Central Library’s PE resources, particularly Venture Intelligence, alongside a curriculum anchored in corporate finance, risk modeling, and investment analysis, as critical to sharpen my ability to price risk, structure deals, and evaluate portfolio outcomes.</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b w:val="1"/>
          <w:bCs w:val="1"/>
          <w:sz w:val="24"/>
          <w:szCs w:val="24"/>
          <w:highlight w:val="cyan"/>
          <w:rtl w:val="0"/>
        </w:rPr>
        <w:t xml:space="preserve">2. Social Capital Network</w:t>
      </w:r>
      <w:r w:rsidDel="00000000" w:rsidR="00000000" w:rsidRPr="00000000">
        <w:rPr>
          <w:rFonts w:ascii="Times New Roman" w:cs="Times New Roman" w:eastAsia="Times New Roman" w:hAnsi="Times New Roman"/>
          <w:sz w:val="24"/>
          <w:szCs w:val="24"/>
          <w:highlight w:val="cyan"/>
          <w:rtl w:val="0"/>
        </w:rPr>
        <w:br w:type="textWrapping"/>
        <w:t xml:space="preserve">If my analytical strategy is built in classrooms, my credibility will be built in corridors, late-night mess-hall debates, clubs, WhatsApp chats, and alumni meetups. </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convert IIM-C LinkedIn connections and warm introductions into a localized network of brokers, legal experts, and advisors.  Through the Finance and Private Equity Clubs, IIMC Innovation Park, and Joka Fund Fest, I will sharpen deal sourcing, valuation, and capital intuition through intellectual debates, investment competitions, and unlisted equity simulations.  The Public Policy Club will help me understand regulatory frameworks shaping SME transactions and family businesses.</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Lakes Fest, Durga Puja, and treks with the Armageddon Club, I will build a trusted peer syndicate of future co-founders, investors, and operators who will pressure test my search thesis and evolve into my long-term investment committee. This ecosystem will directly power my ETA journey with capital access, insight, and execution capability.</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Leadership Ecosystem</w:t>
      </w:r>
      <w:r w:rsidDel="00000000" w:rsidR="00000000" w:rsidRPr="00000000">
        <w:rPr>
          <w:rFonts w:ascii="Times New Roman" w:cs="Times New Roman" w:eastAsia="Times New Roman" w:hAnsi="Times New Roman"/>
          <w:sz w:val="24"/>
          <w:szCs w:val="24"/>
          <w:rtl w:val="0"/>
        </w:rPr>
        <w:br w:type="textWrapping"/>
        <w:t xml:space="preserve">I cannot wait to experience what icons like Indra Nooyi (IIMC ’79) have credited, and my friend Ram Prabhu (IIMC ’24) reiterated on mastering the art of aligning stakeholders through GMLC's subtle-room-reading drills, focusing on reading the unsaid and carrying doubters forward, alongside The Management Centre for Human Values' infamous adda workshops, dissecting hierarchy and unspoken power dynamics.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 Leadership Program and Consulting Club will operationalize this through CXO simulations and boardroom case work where decisions are negotiated across incentives, legacy relationships, and competing priorities, strengthening my ability to structure narratives and manage ETA integration risk.</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From these vantage points, studying at IIMC is the difference between wanting to run a search fund in India and being prepared to execute one.</w:t>
      </w:r>
    </w:p>
    <w:sectPr>
      <w:pgSz w:h="16834" w:w="11909" w:orient="portrait"/>
      <w:pgMar w:bottom="1261.77165354331"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