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tab/>
        <w:tab/>
        <w:tab/>
        <w:tab/>
        <w:tab/>
        <w:tab/>
        <w:tab/>
        <w:tab/>
        <w:t xml:space="preserve"> </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Vikas Badami,</w:t>
        <w:tab/>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Srinivas,</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1st Main 2nd Cross,</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Rajatgiri, Dharwad </w:t>
      </w:r>
      <w:r w:rsidDel="00000000" w:rsidR="00000000" w:rsidRPr="00000000">
        <w:rPr>
          <w:rFonts w:ascii="Times New Roman" w:cs="Times New Roman" w:eastAsia="Times New Roman" w:hAnsi="Times New Roman"/>
          <w:color w:val="4d5156"/>
          <w:sz w:val="24"/>
          <w:szCs w:val="24"/>
          <w:highlight w:val="white"/>
          <w:rtl w:val="0"/>
        </w:rPr>
        <w:t xml:space="preserve">580004</w:t>
      </w: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30th September, 2024</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Admissions Committee</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Memorial Drive</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Cambridge, MA 02142</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MIT Sloan Admissions Committee,</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businesses drive profits through enhancing their leadership capabilities and decision-making processes?” This question has guided much of my work at PeopleGamez, where I transformed corporate training through AI-driven simulations. </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strategic consultant, I realized most simulations in the industry were generic and failed to address real-world business problems. At PeopleGamez, we achieved something unprecedented in the industry by capturing players’ underlying motives and converting insights into real-world applications and tangible business results. This innovative approach reshaped corporate training, delivering impactful business outcomes. </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our clients, GrowthPal, an M&amp;A marketplace, exemplified this approach. They faced unpredictable revenues, three CXO resignations, and bankruptcy. Leveraging our “ProfitLane” simulation, I pioneered a business model offering tailored evaluations of sell-side companies for buyers. This model saved CFOs 500+ hours annually and increased Growthpal’s revenue sixfold. With stable recurring revenue, they raised Series A and rebuilt their leadership team. Our simulations didn’t just address immediate problems; they established the foundation for sustainable growth.</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another instance, a single decision unearthed by our simulation uncovered a revenue opportunity for my client while improving hygiene standards for 25,000+ women. Such experiences have motivated me to expand the scope of my work and molded my long-term vision of empowering organizations to balance their responsibilities with societal needs. </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this goal, my short-term goal is to work as an organizational transformation consultant at McKinsey or BCG, which will equip me with the global perspective and hands-on experience needed to drive large-scale impact.</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Sloan, through CE-Lab, EM-Lab, and collaborating with professors like Donald Sull, I wish to address skill gaps and refine my strategic tools. By leveraging my simulations through the People and Organizations Club, I’ll facilitate cohesive team dynamics within the MIT community and foster an ecosystem that maximizes our collective potential.</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Vikas Badami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