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Explain btech degree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Madiee salary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PeopleGamez salary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Won Startup India Seed Fund ($12K)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Won TIDE 2.0 Grant worth $8.5K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Won Government of India's flagship Toycathon 2021 among 129000+ participants.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Make concise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 this essay, I want to discuss two major experiences that shaped my journey: my subject failure during my post-grad and my team and salary structure at Madiee and PeopleGamez.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joined Madiee in January 2021 and transitioned to a full-time role after graduating in September 2021. At Plaksha, with the academic team’s support, I balanced my coursework while building my start-up, Madiee. A personal emergency involving my co-founder, Senthil, required me to manage a critical client project, leading to missed classes and a failing grade in Persuasive Presence 3 (CL 008) due to insufficient attendance. I kindly request the admissions team to consider that I was the class topper in Persuasive Presence 1 (CL 002) and Persuasive Presence 2 (CL 006), both with a 4.0/4.0 GPA, as evidence of my academic readiness.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At PeopleGamez, Srushti and I, as co-founders, are the only full-time employees, supported by 8-15 freelancers onboarded based on project demands. As a strong believer in value creation, I have consistently reinvested profits in building assets, both at Madiee and PeopleGamez. While I received $0 compensation from Madiee, I withdrew director remuneration during emergencies at PeopleGamez. Further few of my clients at PeopleGamez paid me directly during my father's health emergency. Thus my yearly income has fluctuated between $0 to $10000.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Madiee: An organizational transformation firm specializing in upskilling first-time managers and fostering leadership development through tailored behavioral simulations on skills like change management and team leadership. We delivered interventions from one-hour team bonding sessions to months-long managerial training programs and corporate skill-building tournaments, serving growth-stage startups and large enterprises.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JY: Selected from 15,000+ social changemakers as one of 500 participants, with a coveted scholarship awarded to a select few.  Explored innovative social and business ventures with visionary mentors during this 15-day, 8,000-km train journey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Pi School:</w:t>
        <w:br w:type="textWrapping"/>
        <w:t xml:space="preserve">Selected as 1 of 21 AI scholars from 6000+ global applicants by Pi School of AI, Italy, for a fully sponsored program. Mentored by experts from Google and Meta, we tackled diverse global challenges by designing and deploying state-of-the-art AI models.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Mentorship: Mentored 6 high school and college dropout entrepreneurs by enabling Naman’s pivot to a skill-based teen social media platform, driving Shivank’s podcast growth to 40,000+ subscribers, assisting Suyashi in complying with government processes for a petrol pump, connecting Devank with key fintech ecosystem players, and shaping Bharat’s marketing venture strategy.</w:t>
        <w:br w:type="textWrapping"/>
        <w:br w:type="textWrapping"/>
        <w:t xml:space="preserve">Flood: In 2018, I worked with local villagers to rebuild homes, and clear debris, after narrowly escaping being carried away by floods. When floods hit again in 2019, I mobilized my peers to assemble aid supplies, support relief workers, and help affected communities rebuild their homes.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Plaksha University (Reimagining Higher Education Foundation)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