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40"/>
        </w:rPr>
      </w:r>
      <w:r>
        <w:t>Same project. Six credible résumés.</w:t>
      </w:r>
    </w:p>
    <w:p>
      <w:pPr>
        <w:spacing w:after="160"/>
      </w:pPr>
      <w:r>
        <w:rPr>
          <w:rFonts w:ascii="Calibri" w:hAnsi="Calibri"/>
          <w:b w:val="0"/>
          <w:i/>
          <w:color w:val="1F4D78"/>
          <w:sz w:val="21"/>
        </w:rPr>
        <w:t>Critical audit and expanded functional-customization workbook for M7 MBA students</w:t>
      </w:r>
    </w:p>
    <w:p>
      <w:pPr>
        <w:spacing w:after="140"/>
      </w:pPr>
      <w:r>
        <w:t>Executive verdict. The prior version had a sound teaching concept but treated each function as equally strong in every project. That produced forced finance examples, repeated product phrasing, marketing-heavy sales examples, and over-attribution of shared outcomes. This six-function revision adds Operations as a true execution lane and Gamification as a narrower engagement-design specialization, while distinguishing plausible role scope, work products, and contribution-level causality.</w:t>
      </w:r>
    </w:p>
    <w:p>
      <w:pPr>
        <w:pStyle w:val="Heading1"/>
        <w:keepNext/>
        <w:pageBreakBefore w:val="0"/>
      </w:pPr>
      <w:r>
        <w:t>Evaluation standard</w:t>
      </w:r>
    </w:p>
    <w:p>
      <w:pPr>
        <w:pStyle w:val="WorkshopBullet"/>
      </w:pPr>
      <w:r>
        <w:t>Realism (R): Is the work plausible for the named function, seniority, team size, and project? Does causality stay within the person’s control?</w:t>
      </w:r>
    </w:p>
    <w:p>
      <w:pPr>
        <w:pStyle w:val="WorkshopBullet"/>
      </w:pPr>
      <w:r>
        <w:t>Impressiveness (I): Would the accomplishment stand out after adjusting for scale, ownership, selectivity, and metric quality?</w:t>
      </w:r>
    </w:p>
    <w:p>
      <w:pPr>
        <w:pStyle w:val="WorkshopBullet"/>
      </w:pPr>
      <w:r>
        <w:t>Top-company relevance (T): Does it show the work products and outcomes emphasized by leading employers in that function?</w:t>
      </w:r>
    </w:p>
    <w:p>
      <w:pPr>
        <w:pStyle w:val="WorkshopBullet"/>
      </w:pPr>
      <w:r>
        <w:t>Scores use a 1–5 scale: 1 = weak or forced; 3 = credible but ordinary; 5 = exceptional and interview-ready. N/A means the item is a skills index rather than an achievement.</w:t>
      </w:r>
    </w:p>
    <w:p>
      <w:pPr>
        <w:pStyle w:val="Heading1"/>
        <w:keepNext/>
        <w:pageBreakBefore w:val="0"/>
      </w:pPr>
      <w:r>
        <w:t>Column-level coherence audit</w:t>
      </w:r>
    </w:p>
    <w:tbl>
      <w:tblPr>
        <w:tblW w:type="dxa" w:w="18504"/>
        <w:jc w:val="left"/>
        <w:tblLook w:firstColumn="1" w:firstRow="1" w:lastColumn="0" w:lastRow="0" w:noHBand="0" w:noVBand="1" w:val="04A0"/>
        <w:tblInd w:w="85" w:type="dxa"/>
        <w:tblLayout w:type="fixed"/>
      </w:tblPr>
      <w:tblGrid>
        <w:gridCol w:w="2232"/>
        <w:gridCol w:w="1512"/>
        <w:gridCol w:w="8208"/>
        <w:gridCol w:w="6552"/>
      </w:tblGrid>
      <w:tr>
        <w:trPr>
          <w:tblHeader w:val="true"/>
        </w:trPr>
        <w:tc>
          <w:tcPr>
            <w:tcW w:type="dxa" w:w="2232"/>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Function</w:t>
            </w:r>
          </w:p>
        </w:tc>
        <w:tc>
          <w:tcPr>
            <w:tcW w:type="dxa" w:w="1512"/>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Current coherence</w:t>
            </w:r>
          </w:p>
        </w:tc>
        <w:tc>
          <w:tcPr>
            <w:tcW w:type="dxa" w:w="8208"/>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Unbiased diagnosis</w:t>
            </w:r>
          </w:p>
        </w:tc>
        <w:tc>
          <w:tcPr>
            <w:tcW w:type="dxa" w:w="6552"/>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Revision standard</w:t>
            </w:r>
          </w:p>
        </w:tc>
      </w:tr>
      <w:tr>
        <w:trPr>
          <w:cantSplit/>
        </w:trPr>
        <w:tc>
          <w:tcPr>
            <w:tcW w:type="dxa" w:w="2232"/>
            <w:vAlign w:val="center"/>
            <w:tcMar>
              <w:top w:w="70" w:type="dxa"/>
              <w:start w:w="85" w:type="dxa"/>
              <w:bottom w:w="70" w:type="dxa"/>
              <w:end w:w="85" w:type="dxa"/>
            </w:tcMar>
          </w:tcPr>
          <w:p>
            <w:pPr>
              <w:spacing w:after="0" w:line="252" w:lineRule="auto"/>
            </w:pPr>
            <w:r>
              <w:rPr>
                <w:rFonts w:ascii="Calibri" w:hAnsi="Calibri"/>
                <w:b/>
                <w:i w:val="0"/>
                <w:color w:val="1F4D78"/>
                <w:sz w:val="16"/>
              </w:rPr>
              <w:t>Sales &amp; marketing</w:t>
            </w:r>
          </w:p>
        </w:tc>
        <w:tc>
          <w:tcPr>
            <w:tcW w:type="dxa" w:w="1512"/>
            <w:vAlign w:val="center"/>
            <w:tcMar>
              <w:top w:w="70" w:type="dxa"/>
              <w:start w:w="85" w:type="dxa"/>
              <w:bottom w:w="70" w:type="dxa"/>
              <w:end w:w="85" w:type="dxa"/>
            </w:tcMar>
          </w:tcPr>
          <w:p>
            <w:pPr>
              <w:spacing w:after="0" w:line="252" w:lineRule="auto"/>
            </w:pPr>
            <w:r>
              <w:rPr>
                <w:rFonts w:ascii="Calibri" w:hAnsi="Calibri"/>
                <w:b w:val="0"/>
                <w:i w:val="0"/>
                <w:sz w:val="16"/>
              </w:rPr>
              <w:t>3.6 / 5</w:t>
            </w:r>
          </w:p>
        </w:tc>
        <w:tc>
          <w:tcPr>
            <w:tcW w:type="dxa" w:w="8208"/>
            <w:vAlign w:val="center"/>
            <w:tcMar>
              <w:top w:w="70" w:type="dxa"/>
              <w:start w:w="85" w:type="dxa"/>
              <w:bottom w:w="70" w:type="dxa"/>
              <w:end w:w="85" w:type="dxa"/>
            </w:tcMar>
          </w:tcPr>
          <w:p>
            <w:pPr>
              <w:spacing w:after="0" w:line="252" w:lineRule="auto"/>
            </w:pPr>
            <w:r>
              <w:rPr>
                <w:rFonts w:ascii="Calibri" w:hAnsi="Calibri"/>
                <w:b w:val="0"/>
                <w:i w:val="0"/>
                <w:sz w:val="16"/>
              </w:rPr>
              <w:t>Coherent around GTM and customer value, but weighted toward positioning and partnerships. It rarely shows pipeline, win rate, conversion economics, lifecycle engagement, or sales execution.</w:t>
            </w:r>
          </w:p>
        </w:tc>
        <w:tc>
          <w:tcPr>
            <w:tcW w:type="dxa" w:w="6552"/>
            <w:vAlign w:val="center"/>
            <w:tcMar>
              <w:top w:w="70" w:type="dxa"/>
              <w:start w:w="85" w:type="dxa"/>
              <w:bottom w:w="70" w:type="dxa"/>
              <w:end w:w="85" w:type="dxa"/>
            </w:tcMar>
          </w:tcPr>
          <w:p>
            <w:pPr>
              <w:spacing w:after="0" w:line="252" w:lineRule="auto"/>
            </w:pPr>
            <w:r>
              <w:rPr>
                <w:rFonts w:ascii="Calibri" w:hAnsi="Calibri"/>
                <w:b w:val="0"/>
                <w:i w:val="0"/>
                <w:sz w:val="16"/>
              </w:rPr>
              <w:t>Label the lane (enterprise sales, BD, growth, PMM); show customer insight plus commercial mechanism and a sales/engagement metric.</w:t>
            </w:r>
          </w:p>
        </w:tc>
      </w:tr>
      <w:tr>
        <w:trPr>
          <w:cantSplit/>
        </w:trPr>
        <w:tc>
          <w:tcPr>
            <w:tcW w:type="dxa" w:w="2232"/>
            <w:shd w:fill="F4F8FC"/>
            <w:vAlign w:val="center"/>
            <w:tcMar>
              <w:top w:w="70" w:type="dxa"/>
              <w:start w:w="85" w:type="dxa"/>
              <w:bottom w:w="70" w:type="dxa"/>
              <w:end w:w="85" w:type="dxa"/>
            </w:tcMar>
          </w:tcPr>
          <w:p>
            <w:pPr>
              <w:spacing w:after="0" w:line="252" w:lineRule="auto"/>
            </w:pPr>
            <w:r>
              <w:rPr>
                <w:rFonts w:ascii="Calibri" w:hAnsi="Calibri"/>
                <w:b/>
                <w:i w:val="0"/>
                <w:color w:val="1F4D78"/>
                <w:sz w:val="16"/>
              </w:rPr>
              <w:t>Finance &amp; accounting</w:t>
            </w:r>
          </w:p>
        </w:tc>
        <w:tc>
          <w:tcPr>
            <w:tcW w:type="dxa" w:w="1512"/>
            <w:shd w:fill="F4F8FC"/>
            <w:vAlign w:val="center"/>
            <w:tcMar>
              <w:top w:w="70" w:type="dxa"/>
              <w:start w:w="85" w:type="dxa"/>
              <w:bottom w:w="70" w:type="dxa"/>
              <w:end w:w="85" w:type="dxa"/>
            </w:tcMar>
          </w:tcPr>
          <w:p>
            <w:pPr>
              <w:spacing w:after="0" w:line="252" w:lineRule="auto"/>
            </w:pPr>
            <w:r>
              <w:rPr>
                <w:rFonts w:ascii="Calibri" w:hAnsi="Calibri"/>
                <w:b w:val="0"/>
                <w:i w:val="0"/>
                <w:sz w:val="16"/>
              </w:rPr>
              <w:t>2.7 / 5</w:t>
            </w:r>
          </w:p>
        </w:tc>
        <w:tc>
          <w:tcPr>
            <w:tcW w:type="dxa" w:w="8208"/>
            <w:shd w:fill="F4F8FC"/>
            <w:vAlign w:val="center"/>
            <w:tcMar>
              <w:top w:w="70" w:type="dxa"/>
              <w:start w:w="85" w:type="dxa"/>
              <w:bottom w:w="70" w:type="dxa"/>
              <w:end w:w="85" w:type="dxa"/>
            </w:tcMar>
          </w:tcPr>
          <w:p>
            <w:pPr>
              <w:spacing w:after="0" w:line="252" w:lineRule="auto"/>
            </w:pPr>
            <w:r>
              <w:rPr>
                <w:rFonts w:ascii="Calibri" w:hAnsi="Calibri"/>
                <w:b w:val="0"/>
                <w:i w:val="0"/>
                <w:sz w:val="16"/>
              </w:rPr>
              <w:t>Least coherent column. Investment banking, FP&amp;A, accounting, and “commercial cases with numbers” are mixed together. Several NGO/speaker finance examples feel reverse-engineered.</w:t>
            </w:r>
          </w:p>
        </w:tc>
        <w:tc>
          <w:tcPr>
            <w:tcW w:type="dxa" w:w="6552"/>
            <w:shd w:fill="F4F8FC"/>
            <w:vAlign w:val="center"/>
            <w:tcMar>
              <w:top w:w="70" w:type="dxa"/>
              <w:start w:w="85" w:type="dxa"/>
              <w:bottom w:w="70" w:type="dxa"/>
              <w:end w:w="85" w:type="dxa"/>
            </w:tcMar>
          </w:tcPr>
          <w:p>
            <w:pPr>
              <w:spacing w:after="0" w:line="252" w:lineRule="auto"/>
            </w:pPr>
            <w:r>
              <w:rPr>
                <w:rFonts w:ascii="Calibri" w:hAnsi="Calibri"/>
                <w:b w:val="0"/>
                <w:i w:val="0"/>
                <w:sz w:val="16"/>
              </w:rPr>
              <w:t>Label the lane in every cell. Add valuation/origination, FP&amp;A, close/reporting, controls, working capital, and grant-accounting examples; do not force finance where no finance work existed.</w:t>
            </w:r>
          </w:p>
        </w:tc>
      </w:tr>
      <w:tr>
        <w:trPr>
          <w:cantSplit/>
        </w:trPr>
        <w:tc>
          <w:tcPr>
            <w:tcW w:type="dxa" w:w="2232"/>
            <w:vAlign w:val="center"/>
            <w:tcMar>
              <w:top w:w="70" w:type="dxa"/>
              <w:start w:w="85" w:type="dxa"/>
              <w:bottom w:w="70" w:type="dxa"/>
              <w:end w:w="85" w:type="dxa"/>
            </w:tcMar>
          </w:tcPr>
          <w:p>
            <w:pPr>
              <w:spacing w:after="0" w:line="252" w:lineRule="auto"/>
            </w:pPr>
            <w:r>
              <w:rPr>
                <w:rFonts w:ascii="Calibri" w:hAnsi="Calibri"/>
                <w:b/>
                <w:i w:val="0"/>
                <w:color w:val="1F4D78"/>
                <w:sz w:val="16"/>
              </w:rPr>
              <w:t>Product development</w:t>
            </w:r>
          </w:p>
        </w:tc>
        <w:tc>
          <w:tcPr>
            <w:tcW w:type="dxa" w:w="1512"/>
            <w:vAlign w:val="center"/>
            <w:tcMar>
              <w:top w:w="70" w:type="dxa"/>
              <w:start w:w="85" w:type="dxa"/>
              <w:bottom w:w="70" w:type="dxa"/>
              <w:end w:w="85" w:type="dxa"/>
            </w:tcMar>
          </w:tcPr>
          <w:p>
            <w:pPr>
              <w:spacing w:after="0" w:line="252" w:lineRule="auto"/>
            </w:pPr>
            <w:r>
              <w:rPr>
                <w:rFonts w:ascii="Calibri" w:hAnsi="Calibri"/>
                <w:b w:val="0"/>
                <w:i w:val="0"/>
                <w:sz w:val="16"/>
              </w:rPr>
              <w:t>4.0 / 5</w:t>
            </w:r>
          </w:p>
        </w:tc>
        <w:tc>
          <w:tcPr>
            <w:tcW w:type="dxa" w:w="8208"/>
            <w:vAlign w:val="center"/>
            <w:tcMar>
              <w:top w:w="70" w:type="dxa"/>
              <w:start w:w="85" w:type="dxa"/>
              <w:bottom w:w="70" w:type="dxa"/>
              <w:end w:w="85" w:type="dxa"/>
            </w:tcMar>
          </w:tcPr>
          <w:p>
            <w:pPr>
              <w:spacing w:after="0" w:line="252" w:lineRule="auto"/>
            </w:pPr>
            <w:r>
              <w:rPr>
                <w:rFonts w:ascii="Calibri" w:hAnsi="Calibri"/>
                <w:b w:val="0"/>
                <w:i w:val="0"/>
                <w:sz w:val="16"/>
              </w:rPr>
              <w:t>Strongest functional vocabulary after consulting, but “designed a workflow” recurs too often. Some bullets lack launch ownership, adoption evidence, experimentation, or technical trade-offs.</w:t>
            </w:r>
          </w:p>
        </w:tc>
        <w:tc>
          <w:tcPr>
            <w:tcW w:type="dxa" w:w="6552"/>
            <w:vAlign w:val="center"/>
            <w:tcMar>
              <w:top w:w="70" w:type="dxa"/>
              <w:start w:w="85" w:type="dxa"/>
              <w:bottom w:w="70" w:type="dxa"/>
              <w:end w:w="85" w:type="dxa"/>
            </w:tcMar>
          </w:tcPr>
          <w:p>
            <w:pPr>
              <w:spacing w:after="0" w:line="252" w:lineRule="auto"/>
            </w:pPr>
            <w:r>
              <w:rPr>
                <w:rFonts w:ascii="Calibri" w:hAnsi="Calibri"/>
                <w:b w:val="0"/>
                <w:i w:val="0"/>
                <w:sz w:val="16"/>
              </w:rPr>
              <w:t>Show discovery → prioritization → delivery → metric; vary work products (PRD, roadmap, experiment, prototype, telemetry, launch) and identify the decision personally owned.</w:t>
            </w:r>
          </w:p>
        </w:tc>
      </w:tr>
      <w:tr>
        <w:trPr>
          <w:cantSplit/>
        </w:trPr>
        <w:tc>
          <w:tcPr>
            <w:tcW w:type="dxa" w:w="2232"/>
            <w:shd w:fill="F4F8FC"/>
            <w:vAlign w:val="center"/>
            <w:tcMar>
              <w:top w:w="70" w:type="dxa"/>
              <w:start w:w="85" w:type="dxa"/>
              <w:bottom w:w="70" w:type="dxa"/>
              <w:end w:w="85" w:type="dxa"/>
            </w:tcMar>
          </w:tcPr>
          <w:p>
            <w:pPr>
              <w:spacing w:after="0" w:line="252" w:lineRule="auto"/>
            </w:pPr>
            <w:r>
              <w:rPr>
                <w:rFonts w:ascii="Calibri" w:hAnsi="Calibri"/>
                <w:b/>
                <w:i w:val="0"/>
                <w:color w:val="1F4D78"/>
                <w:sz w:val="16"/>
              </w:rPr>
              <w:t>Chief of staff / consulting</w:t>
            </w:r>
          </w:p>
        </w:tc>
        <w:tc>
          <w:tcPr>
            <w:tcW w:type="dxa" w:w="1512"/>
            <w:shd w:fill="F4F8FC"/>
            <w:vAlign w:val="center"/>
            <w:tcMar>
              <w:top w:w="70" w:type="dxa"/>
              <w:start w:w="85" w:type="dxa"/>
              <w:bottom w:w="70" w:type="dxa"/>
              <w:end w:w="85" w:type="dxa"/>
            </w:tcMar>
          </w:tcPr>
          <w:p>
            <w:pPr>
              <w:spacing w:after="0" w:line="252" w:lineRule="auto"/>
            </w:pPr>
            <w:r>
              <w:rPr>
                <w:rFonts w:ascii="Calibri" w:hAnsi="Calibri"/>
                <w:b w:val="0"/>
                <w:i w:val="0"/>
                <w:sz w:val="16"/>
              </w:rPr>
              <w:t>4.2 / 5</w:t>
            </w:r>
          </w:p>
        </w:tc>
        <w:tc>
          <w:tcPr>
            <w:tcW w:type="dxa" w:w="8208"/>
            <w:shd w:fill="F4F8FC"/>
            <w:vAlign w:val="center"/>
            <w:tcMar>
              <w:top w:w="70" w:type="dxa"/>
              <w:start w:w="85" w:type="dxa"/>
              <w:bottom w:w="70" w:type="dxa"/>
              <w:end w:w="85" w:type="dxa"/>
            </w:tcMar>
          </w:tcPr>
          <w:p>
            <w:pPr>
              <w:spacing w:after="0" w:line="252" w:lineRule="auto"/>
            </w:pPr>
            <w:r>
              <w:rPr>
                <w:rFonts w:ascii="Calibri" w:hAnsi="Calibri"/>
                <w:b w:val="0"/>
                <w:i w:val="0"/>
                <w:sz w:val="16"/>
              </w:rPr>
              <w:t>Most coherent column: ambiguity, executive decisions, alignment, and implementation. Risk comes from generic “aligned stakeholders” language and claiming total project results.</w:t>
            </w:r>
          </w:p>
        </w:tc>
        <w:tc>
          <w:tcPr>
            <w:tcW w:type="dxa" w:w="6552"/>
            <w:shd w:fill="F4F8FC"/>
            <w:vAlign w:val="center"/>
            <w:tcMar>
              <w:top w:w="70" w:type="dxa"/>
              <w:start w:w="85" w:type="dxa"/>
              <w:bottom w:w="70" w:type="dxa"/>
              <w:end w:w="85" w:type="dxa"/>
            </w:tcMar>
          </w:tcPr>
          <w:p>
            <w:pPr>
              <w:spacing w:after="0" w:line="252" w:lineRule="auto"/>
            </w:pPr>
            <w:r>
              <w:rPr>
                <w:rFonts w:ascii="Calibri" w:hAnsi="Calibri"/>
                <w:b w:val="0"/>
                <w:i w:val="0"/>
                <w:sz w:val="16"/>
              </w:rPr>
              <w:t>Differentiate diagnosis, decision memo, PMO cadence, change adoption, governance, and capability building; use “enabled/contributed” unless the person owned the result.</w:t>
            </w:r>
          </w:p>
        </w:tc>
      </w:tr>
      <w:tr>
        <w:tc>
          <w:tcPr>
            <w:tcW w:type="dxa" w:w="2232"/>
            <w:shd w:fill="EAF3F4"/>
            <w:vAlign w:val="center"/>
            <w:tcMar>
              <w:top w:w="70" w:type="dxa"/>
              <w:start w:w="85" w:type="dxa"/>
              <w:bottom w:w="70" w:type="dxa"/>
              <w:end w:w="85" w:type="dxa"/>
            </w:tcMar>
          </w:tcPr>
          <w:p>
            <w:pPr>
              <w:spacing w:before="0" w:after="0" w:line="240" w:lineRule="auto"/>
            </w:pPr>
            <w:r>
              <w:rPr>
                <w:rFonts w:ascii="Aptos" w:hAnsi="Aptos"/>
                <w:b/>
                <w:color w:val="1F2933"/>
                <w:sz w:val="14"/>
              </w:rPr>
              <w:t>Operations</w:t>
            </w:r>
          </w:p>
        </w:tc>
        <w:tc>
          <w:tcPr>
            <w:tcW w:type="dxa" w:w="1512"/>
            <w:shd w:fill="F4F8FC"/>
            <w:vAlign w:val="center"/>
            <w:tcMar>
              <w:top w:w="70" w:type="dxa"/>
              <w:start w:w="85" w:type="dxa"/>
              <w:bottom w:w="70" w:type="dxa"/>
              <w:end w:w="85" w:type="dxa"/>
            </w:tcMar>
          </w:tcPr>
          <w:p>
            <w:pPr>
              <w:spacing w:before="0" w:after="0" w:line="240" w:lineRule="auto"/>
            </w:pPr>
            <w:r>
              <w:rPr>
                <w:rFonts w:ascii="Aptos" w:hAnsi="Aptos"/>
                <w:b w:val="0"/>
                <w:color w:val="1F2933"/>
                <w:sz w:val="15"/>
              </w:rPr>
              <w:t>4.3 / 5</w:t>
            </w:r>
          </w:p>
        </w:tc>
        <w:tc>
          <w:tcPr>
            <w:tcW w:type="dxa" w:w="8208"/>
            <w:shd w:fill="F4F8FC"/>
            <w:vAlign w:val="center"/>
            <w:tcMar>
              <w:top w:w="70" w:type="dxa"/>
              <w:start w:w="85" w:type="dxa"/>
              <w:bottom w:w="70" w:type="dxa"/>
              <w:end w:w="85" w:type="dxa"/>
            </w:tcMar>
          </w:tcPr>
          <w:p>
            <w:pPr>
              <w:spacing w:before="0" w:after="0" w:line="240" w:lineRule="auto"/>
            </w:pPr>
            <w:r>
              <w:rPr>
                <w:rFonts w:ascii="Aptos" w:hAnsi="Aptos"/>
                <w:b w:val="0"/>
                <w:color w:val="1F2933"/>
                <w:sz w:val="14"/>
              </w:rPr>
              <w:t>Highly coherent with the source corpus: delivery scale, partner onboarding, process redesign, team systems, cost, cycle time, and quality. Main risk is relabeling strategy or project coordination as operating ownership.</w:t>
            </w:r>
          </w:p>
        </w:tc>
        <w:tc>
          <w:tcPr>
            <w:tcW w:type="dxa" w:w="6552"/>
            <w:shd w:fill="F4F8FC"/>
            <w:vAlign w:val="center"/>
            <w:tcMar>
              <w:top w:w="70" w:type="dxa"/>
              <w:start w:w="85" w:type="dxa"/>
              <w:bottom w:w="70" w:type="dxa"/>
              <w:end w:w="85" w:type="dxa"/>
            </w:tcMar>
          </w:tcPr>
          <w:p>
            <w:pPr>
              <w:spacing w:before="0" w:after="0" w:line="240" w:lineRule="auto"/>
            </w:pPr>
            <w:r>
              <w:rPr>
                <w:rFonts w:ascii="Aptos" w:hAnsi="Aptos"/>
                <w:b w:val="0"/>
                <w:color w:val="1F2933"/>
                <w:sz w:val="14"/>
              </w:rPr>
              <w:t>Name the lane; show the operating mechanism, scale, people/process ownership, and a service, quality, throughput, cost, capacity, or safety metric.</w:t>
            </w:r>
          </w:p>
        </w:tc>
      </w:tr>
      <w:tr>
        <w:tc>
          <w:tcPr>
            <w:tcW w:type="dxa" w:w="2232"/>
            <w:shd w:fill="EAF3F4"/>
            <w:vAlign w:val="center"/>
            <w:tcMar>
              <w:top w:w="70" w:type="dxa"/>
              <w:start w:w="85" w:type="dxa"/>
              <w:bottom w:w="70" w:type="dxa"/>
              <w:end w:w="85" w:type="dxa"/>
            </w:tcMar>
          </w:tcPr>
          <w:p>
            <w:pPr>
              <w:spacing w:before="0" w:after="0" w:line="240" w:lineRule="auto"/>
            </w:pPr>
            <w:r>
              <w:rPr>
                <w:rFonts w:ascii="Aptos" w:hAnsi="Aptos"/>
                <w:b/>
                <w:color w:val="1F2933"/>
                <w:sz w:val="14"/>
              </w:rPr>
              <w:t>Gamification / engagement design</w:t>
            </w:r>
          </w:p>
        </w:tc>
        <w:tc>
          <w:tcPr>
            <w:tcW w:type="dxa" w:w="1512"/>
            <w:shd w:fill="F4F8FC"/>
            <w:vAlign w:val="center"/>
            <w:tcMar>
              <w:top w:w="70" w:type="dxa"/>
              <w:start w:w="85" w:type="dxa"/>
              <w:bottom w:w="70" w:type="dxa"/>
              <w:end w:w="85" w:type="dxa"/>
            </w:tcMar>
          </w:tcPr>
          <w:p>
            <w:pPr>
              <w:spacing w:before="0" w:after="0" w:line="240" w:lineRule="auto"/>
            </w:pPr>
            <w:r>
              <w:rPr>
                <w:rFonts w:ascii="Aptos" w:hAnsi="Aptos"/>
                <w:b w:val="0"/>
                <w:color w:val="1F2933"/>
                <w:sz w:val="15"/>
              </w:rPr>
              <w:t>3.1 / 5</w:t>
            </w:r>
          </w:p>
        </w:tc>
        <w:tc>
          <w:tcPr>
            <w:tcW w:type="dxa" w:w="8208"/>
            <w:shd w:fill="F4F8FC"/>
            <w:vAlign w:val="center"/>
            <w:tcMar>
              <w:top w:w="70" w:type="dxa"/>
              <w:start w:w="85" w:type="dxa"/>
              <w:bottom w:w="70" w:type="dxa"/>
              <w:end w:w="85" w:type="dxa"/>
            </w:tcMar>
          </w:tcPr>
          <w:p>
            <w:pPr>
              <w:spacing w:before="0" w:after="0" w:line="240" w:lineRule="auto"/>
            </w:pPr>
            <w:r>
              <w:rPr>
                <w:rFonts w:ascii="Aptos" w:hAnsi="Aptos"/>
                <w:b w:val="0"/>
                <w:color w:val="1F2933"/>
                <w:sz w:val="14"/>
              </w:rPr>
              <w:t>Strong in simulations, learning, onboarding, adoption, and behavior change; weak when retrofitted to M&amp;A, accounting, awards, or speaking. It is usually a product/growth/design specialization rather than a standalone MBA recruiting function.</w:t>
            </w:r>
          </w:p>
        </w:tc>
        <w:tc>
          <w:tcPr>
            <w:tcW w:type="dxa" w:w="6552"/>
            <w:shd w:fill="F4F8FC"/>
            <w:vAlign w:val="center"/>
            <w:tcMar>
              <w:top w:w="70" w:type="dxa"/>
              <w:start w:w="85" w:type="dxa"/>
              <w:bottom w:w="70" w:type="dxa"/>
              <w:end w:w="85" w:type="dxa"/>
            </w:tcMar>
          </w:tcPr>
          <w:p>
            <w:pPr>
              <w:spacing w:before="0" w:after="0" w:line="240" w:lineRule="auto"/>
            </w:pPr>
            <w:r>
              <w:rPr>
                <w:rFonts w:ascii="Aptos" w:hAnsi="Aptos"/>
                <w:b w:val="0"/>
                <w:color w:val="1F2933"/>
                <w:sz w:val="14"/>
              </w:rPr>
              <w:t>State the target behavior, mechanic and feedback loop, experiment, ethical guardrail, and engagement plus business/learning outcome; never substitute points and badges for evidence.</w:t>
            </w:r>
          </w:p>
        </w:tc>
      </w:tr>
    </w:tbl>
    <w:p>
      <w:pPr>
        <w:pStyle w:val="Heading1"/>
        <w:keepNext/>
        <w:pageBreakBefore/>
      </w:pPr>
      <w:r>
        <w:t>Pointer-by-pointer audit of the prior version</w:t>
      </w:r>
    </w:p>
    <w:p>
      <w:pPr>
        <w:spacing w:after="100"/>
      </w:pPr>
      <w:r>
        <w:rPr>
          <w:rFonts w:ascii="Calibri" w:hAnsi="Calibri"/>
          <w:b w:val="0"/>
          <w:i/>
          <w:color w:val="666666"/>
          <w:sz w:val="16"/>
        </w:rPr>
        <w:t>Each audit cell evaluates the exact function-facing pointer from the previous handout. “Issue” identifies the reason a score is constrained; the revised matrices later in this document implement the fix.</w:t>
      </w:r>
    </w:p>
    <w:tbl>
      <w:tblPr>
        <w:tblW w:type="dxa" w:w="18545"/>
        <w:jc w:val="left"/>
        <w:tblLook w:firstColumn="1" w:firstRow="1" w:lastColumn="0" w:lastRow="0" w:noHBand="0" w:noVBand="1" w:val="04A0"/>
        <w:tblInd w:w="85" w:type="dxa"/>
        <w:tblLayout w:type="fixed"/>
      </w:tblPr>
      <w:tblGrid>
        <w:gridCol w:w="2045"/>
        <w:gridCol w:w="2750"/>
        <w:gridCol w:w="2750"/>
        <w:gridCol w:w="2750"/>
        <w:gridCol w:w="2750"/>
        <w:gridCol w:w="2750"/>
        <w:gridCol w:w="2750"/>
      </w:tblGrid>
      <w:tr>
        <w:trPr>
          <w:tblHeader w:val="true"/>
        </w:trPr>
        <w:tc>
          <w:tcPr>
            <w:tcW w:type="dxa" w:w="2045"/>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Prior shared row</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Sales &amp; marketing audit</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Finance &amp; accounting audit</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Product audit</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CoS / consulting audit</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Operations audit</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Gamification audit</w:t>
            </w:r>
          </w:p>
        </w:tc>
      </w:tr>
      <w:tr>
        <w:trPr>
          <w:cantSplit/>
        </w:trPr>
        <w:tc>
          <w:tcPr>
            <w:tcW w:type="dxa" w:w="2045"/>
            <w:vAlign w:val="center"/>
            <w:tcMar>
              <w:top w:w="70" w:type="dxa"/>
              <w:start w:w="85" w:type="dxa"/>
              <w:bottom w:w="70" w:type="dxa"/>
              <w:end w:w="85" w:type="dxa"/>
            </w:tcMar>
          </w:tcPr>
          <w:p>
            <w:pPr>
              <w:spacing w:after="16" w:before="0" w:line="240" w:lineRule="auto"/>
            </w:pPr>
            <w:r>
              <w:rPr>
                <w:rFonts w:ascii="Aptos" w:hAnsi="Aptos"/>
                <w:b/>
                <w:i w:val="0"/>
                <w:color w:val="1F4D78"/>
                <w:sz w:val="12"/>
              </w:rPr>
              <w:t>1. M&amp;A marketplace turnaround</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Credible segmentation and repositioning; needs proof of lead generation, funnel ownership, and whether cycle reduction was measured.</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R3 I5 T5</w:t>
            </w:r>
          </w:p>
          <w:p>
            <w:pPr>
              <w:spacing w:after="16" w:line="240" w:lineRule="auto" w:before="0"/>
            </w:pPr>
            <w:r>
              <w:rPr>
                <w:rFonts w:ascii="Aptos" w:hAnsi="Aptos"/>
                <w:b w:val="0"/>
                <w:i w:val="0"/>
                <w:sz w:val="12"/>
              </w:rPr>
              <w:t>Potentially excellent, but one person sourcing 50 targets, normalizing SDE, building LBOs, and supporting financing is unusually broad. Narrow the transaction work product.</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Buyer workflow is credible; “improved paid conversion” needs baseline, experiment, or adoption evidence.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I5 T5</w:t>
            </w:r>
          </w:p>
          <w:p>
            <w:pPr>
              <w:spacing w:after="16" w:line="240" w:lineRule="auto" w:before="0"/>
            </w:pPr>
            <w:r>
              <w:rPr>
                <w:rFonts w:ascii="Aptos" w:hAnsi="Aptos"/>
                <w:b w:val="0"/>
                <w:i w:val="0"/>
                <w:sz w:val="12"/>
              </w:rPr>
              <w:t>Strong turnaround story; Series A attribution is too direct unless this person owned investor workstream and diligence.</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plausible lane: seller intake, diligence SLAs, exception queues, handoffs, and cycle-time control.</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only if buyer/seller readiness milestones, feedback, or progress visibility were designed and tested.</w:t>
            </w:r>
          </w:p>
        </w:tc>
      </w:tr>
      <w:tr>
        <w:trPr>
          <w:cantSplit/>
        </w:trPr>
        <w:tc>
          <w:tcPr>
            <w:tcW w:type="dxa" w:w="2045"/>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2. AIF marketplace</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Institutional adoption is plausible; stronger with partner pipeline, conversion, and activation metrics.</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I5 T5</w:t>
            </w:r>
          </w:p>
          <w:p>
            <w:pPr>
              <w:spacing w:after="16" w:line="240" w:lineRule="auto" w:before="0"/>
            </w:pPr>
            <w:r>
              <w:rPr>
                <w:rFonts w:ascii="Aptos" w:hAnsi="Aptos"/>
                <w:b w:val="0"/>
                <w:i w:val="0"/>
                <w:sz w:val="12"/>
              </w:rPr>
              <w:t>High signal but methodologically loose: IRR/MOIC/TVPI fit closed-end AIFs, not every PMF/PMS offering. Separate return frameworks and funding attribution.</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Good user-to-workflow translation; “agentic comparison” can sound fashionable without shipped usage, data quality, and decision accuracy.</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I4 T5</w:t>
            </w:r>
          </w:p>
          <w:p>
            <w:pPr>
              <w:spacing w:after="16" w:line="240" w:lineRule="auto" w:before="0"/>
            </w:pPr>
            <w:r>
              <w:rPr>
                <w:rFonts w:ascii="Aptos" w:hAnsi="Aptos"/>
                <w:b w:val="0"/>
                <w:i w:val="0"/>
                <w:sz w:val="12"/>
              </w:rPr>
              <w:t>Credible ecosystem governance; needs a concrete decision artifact and implementation milestone.</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plausible lane: partner onboarding, product-data refresh, suitability controls, and service-level governance.</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for goal-based learning and progress feedback; must not steer investors through commission-biased rewards.</w:t>
            </w:r>
          </w:p>
        </w:tc>
      </w:tr>
      <w:tr>
        <w:trPr>
          <w:cantSplit/>
        </w:trPr>
        <w:tc>
          <w:tcPr>
            <w:tcW w:type="dxa" w:w="2045"/>
            <w:vAlign w:val="center"/>
            <w:tcMar>
              <w:top w:w="70" w:type="dxa"/>
              <w:start w:w="85" w:type="dxa"/>
              <w:bottom w:w="70" w:type="dxa"/>
              <w:end w:w="85" w:type="dxa"/>
            </w:tcMar>
          </w:tcPr>
          <w:p>
            <w:pPr>
              <w:spacing w:after="16" w:before="0" w:line="240" w:lineRule="auto"/>
            </w:pPr>
            <w:r>
              <w:rPr>
                <w:rFonts w:ascii="Aptos" w:hAnsi="Aptos"/>
                <w:b/>
                <w:i w:val="0"/>
                <w:color w:val="1F4D78"/>
                <w:sz w:val="12"/>
              </w:rPr>
              <w:t>3. Fintech PMF pivot</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Clear segmentation and value-proposition work; commercialization metric beyond launch speed would improve it.</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CAC/LTV/runway scenario is role-relevant; ensure it influenced a real capital allocation decision rather than being retrospective analysis.</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I4 T5</w:t>
            </w:r>
          </w:p>
          <w:p>
            <w:pPr>
              <w:spacing w:after="16" w:line="240" w:lineRule="auto" w:before="0"/>
            </w:pPr>
            <w:r>
              <w:rPr>
                <w:rFonts w:ascii="Aptos" w:hAnsi="Aptos"/>
                <w:b w:val="0"/>
                <w:i w:val="0"/>
                <w:sz w:val="12"/>
              </w:rPr>
              <w:t>Most realistic product bullet: research, backlog decision, MVP, and time-to-market. Add adoption or quality outcome.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T5</w:t>
            </w:r>
          </w:p>
          <w:p>
            <w:pPr>
              <w:spacing w:after="16" w:line="240" w:lineRule="auto" w:before="0"/>
            </w:pPr>
            <w:r>
              <w:rPr>
                <w:rFonts w:ascii="Aptos" w:hAnsi="Aptos"/>
                <w:b w:val="0"/>
                <w:i w:val="0"/>
                <w:sz w:val="12"/>
              </w:rPr>
              <w:t>Strong decision-case framing; “protected runway” needs quantified capital or months saved.</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plausible lane: launch readiness, dependency control, operating cadence, and support capacity behind the 6→3-month launch.</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if onboarding challenges and feedback improved activation or time-to-value; weak if merely points/badges.</w:t>
            </w:r>
          </w:p>
        </w:tc>
      </w:tr>
      <w:tr>
        <w:trPr>
          <w:cantSplit/>
        </w:trPr>
        <w:tc>
          <w:tcPr>
            <w:tcW w:type="dxa" w:w="2045"/>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4. Enterprise AI win-back</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I4 T5</w:t>
            </w:r>
          </w:p>
          <w:p>
            <w:pPr>
              <w:spacing w:after="16" w:line="240" w:lineRule="auto" w:before="0"/>
            </w:pPr>
            <w:r>
              <w:rPr>
                <w:rFonts w:ascii="Aptos" w:hAnsi="Aptos"/>
                <w:b w:val="0"/>
                <w:i w:val="0"/>
                <w:sz w:val="12"/>
              </w:rPr>
              <w:t>Top-company relevant win-back story; clarify owned accounts, sales motion, and renewal/expansion result.</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I4 T4</w:t>
            </w:r>
          </w:p>
          <w:p>
            <w:pPr>
              <w:spacing w:after="16" w:line="240" w:lineRule="auto" w:before="0"/>
            </w:pPr>
            <w:r>
              <w:rPr>
                <w:rFonts w:ascii="Aptos" w:hAnsi="Aptos"/>
                <w:b w:val="0"/>
                <w:i w:val="0"/>
                <w:sz w:val="12"/>
              </w:rPr>
              <w:t>LTV/NPV model is plausible but generic. Stronger as a build-vs-buy or churn-at-risk decision with approved investment.</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R5 I5 T5</w:t>
            </w:r>
          </w:p>
          <w:p>
            <w:pPr>
              <w:spacing w:after="16" w:line="240" w:lineRule="auto" w:before="0"/>
            </w:pPr>
            <w:r>
              <w:rPr>
                <w:rFonts w:ascii="Aptos" w:hAnsi="Aptos"/>
                <w:b w:val="0"/>
                <w:i w:val="0"/>
                <w:sz w:val="12"/>
              </w:rPr>
              <w:t>Excellent product evidence if personally shipped; needs usage, workflow-time, or model-quality metric to supplement account recovery.</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I4 T4</w:t>
            </w:r>
          </w:p>
          <w:p>
            <w:pPr>
              <w:spacing w:after="16" w:line="240" w:lineRule="auto" w:before="0"/>
            </w:pPr>
            <w:r>
              <w:rPr>
                <w:rFonts w:ascii="Aptos" w:hAnsi="Aptos"/>
                <w:b w:val="0"/>
                <w:i w:val="0"/>
                <w:sz w:val="12"/>
              </w:rPr>
              <w:t>Cross-functional recovery cadence is plausible but not distinctively CoS; add executive decision, dependency removal, and implementation governance.</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plausible lane: incident triage, reliability reviews, enablement, and account-recovery service mechanisms.</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if role-based missions or mastery feedback increased AI-feature adoption and renewal behavior.</w:t>
            </w:r>
          </w:p>
        </w:tc>
      </w:tr>
      <w:tr>
        <w:trPr>
          <w:cantSplit/>
        </w:trPr>
        <w:tc>
          <w:tcPr>
            <w:tcW w:type="dxa" w:w="2045"/>
            <w:vAlign w:val="center"/>
            <w:tcMar>
              <w:top w:w="70" w:type="dxa"/>
              <w:start w:w="85" w:type="dxa"/>
              <w:bottom w:w="70" w:type="dxa"/>
              <w:end w:w="85" w:type="dxa"/>
            </w:tcMar>
          </w:tcPr>
          <w:p>
            <w:pPr>
              <w:spacing w:after="16" w:before="0" w:line="240" w:lineRule="auto"/>
            </w:pPr>
            <w:r>
              <w:rPr>
                <w:rFonts w:ascii="Aptos" w:hAnsi="Aptos"/>
                <w:b/>
                <w:i w:val="0"/>
                <w:color w:val="1F4D78"/>
                <w:sz w:val="12"/>
              </w:rPr>
              <w:t>5. Global program expansion</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I4 T5</w:t>
            </w:r>
          </w:p>
          <w:p>
            <w:pPr>
              <w:spacing w:after="16" w:line="240" w:lineRule="auto" w:before="0"/>
            </w:pPr>
            <w:r>
              <w:rPr>
                <w:rFonts w:ascii="Aptos" w:hAnsi="Aptos"/>
                <w:b w:val="0"/>
                <w:i w:val="0"/>
                <w:sz w:val="12"/>
              </w:rPr>
              <w:t>Strong channel/partner GTM fit; needs channel productivity or enterprise conversion alongside reach.</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R3 I3 T4</w:t>
            </w:r>
          </w:p>
          <w:p>
            <w:pPr>
              <w:spacing w:after="16" w:line="240" w:lineRule="auto" w:before="0"/>
            </w:pPr>
            <w:r>
              <w:rPr>
                <w:rFonts w:ascii="Aptos" w:hAnsi="Aptos"/>
                <w:b w:val="0"/>
                <w:i w:val="0"/>
                <w:sz w:val="12"/>
              </w:rPr>
              <w:t>Partner economics could be credible FP&amp;A, but no evidence that the prior profile owned pricing, terms, or cost-to-serve.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R3 I4 T4</w:t>
            </w:r>
          </w:p>
          <w:p>
            <w:pPr>
              <w:spacing w:after="16" w:line="240" w:lineRule="auto" w:before="0"/>
            </w:pPr>
            <w:r>
              <w:rPr>
                <w:rFonts w:ascii="Aptos" w:hAnsi="Aptos"/>
                <w:b w:val="0"/>
                <w:i w:val="0"/>
                <w:sz w:val="12"/>
              </w:rPr>
              <w:t>Reusable platform claim is plausible but broad; specify product artifact, launch, and usage telemetry.</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T5</w:t>
            </w:r>
          </w:p>
          <w:p>
            <w:pPr>
              <w:spacing w:after="16" w:line="240" w:lineRule="auto" w:before="0"/>
            </w:pPr>
            <w:r>
              <w:rPr>
                <w:rFonts w:ascii="Aptos" w:hAnsi="Aptos"/>
                <w:b w:val="0"/>
                <w:i w:val="0"/>
                <w:sz w:val="12"/>
              </w:rPr>
              <w:t>Strong operating-model story; quantify delivery reliability, cycle time, or partner activation.</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plausible lane: facilitator capacity, localization QA, launch playbooks, and delivery controls across seven countries.</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for localized progression, cohort challenges, and repeat-learning behavior if measured.</w:t>
            </w:r>
          </w:p>
        </w:tc>
      </w:tr>
      <w:tr>
        <w:trPr>
          <w:cantSplit/>
        </w:trPr>
        <w:tc>
          <w:tcPr>
            <w:tcW w:type="dxa" w:w="2045"/>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6. MBA applied-finance practicum</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Feels forced into Sales unless the student owned customer discovery or partner pitch.</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Relevant academic finance proof; distinguish classroom model from live investment underwriting.</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Workflow/prototype is plausible but secondary to finance objective; needs actual user testing.</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I3 T4</w:t>
            </w:r>
          </w:p>
          <w:p>
            <w:pPr>
              <w:spacing w:after="16" w:line="240" w:lineRule="auto" w:before="0"/>
            </w:pPr>
            <w:r>
              <w:rPr>
                <w:rFonts w:ascii="Aptos" w:hAnsi="Aptos"/>
                <w:b w:val="0"/>
                <w:i w:val="0"/>
                <w:sz w:val="12"/>
              </w:rPr>
              <w:t>Decision memo is credible but ordinary unless selectivity, client use, or implementation follows.</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as a pilot operating model, capacity plan, RACI, service levels, and implementation-risk register.</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as a decision simulation or investor-learning journey; academic outcomes must remain academic.</w:t>
            </w:r>
          </w:p>
        </w:tc>
      </w:tr>
      <w:tr>
        <w:trPr>
          <w:cantSplit/>
        </w:trPr>
        <w:tc>
          <w:tcPr>
            <w:tcW w:type="dxa" w:w="2045"/>
            <w:vAlign w:val="center"/>
            <w:tcMar>
              <w:top w:w="70" w:type="dxa"/>
              <w:start w:w="85" w:type="dxa"/>
              <w:bottom w:w="70" w:type="dxa"/>
              <w:end w:w="85" w:type="dxa"/>
            </w:tcMar>
          </w:tcPr>
          <w:p>
            <w:pPr>
              <w:spacing w:after="16" w:before="0" w:line="240" w:lineRule="auto"/>
            </w:pPr>
            <w:r>
              <w:rPr>
                <w:rFonts w:ascii="Aptos" w:hAnsi="Aptos"/>
                <w:b/>
                <w:i w:val="0"/>
                <w:color w:val="1F4D78"/>
                <w:sz w:val="12"/>
              </w:rPr>
              <w:t>7. Technical capstone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Buyer-value framing is possible but weak without client discovery or adoption role.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Automation business case is reasonable; not accounting evidence and may be invented if no cost model existed.</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I4 T5</w:t>
            </w:r>
          </w:p>
          <w:p>
            <w:pPr>
              <w:spacing w:after="16" w:line="240" w:lineRule="auto" w:before="0"/>
            </w:pPr>
            <w:r>
              <w:rPr>
                <w:rFonts w:ascii="Aptos" w:hAnsi="Aptos"/>
                <w:b w:val="0"/>
                <w:i w:val="0"/>
                <w:sz w:val="12"/>
              </w:rPr>
              <w:t>Strongest natural fit: built workflow and improved processing time. Clarify test conditions and ownership.</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Cross-functional coordination is credible; add stakeholder decision and project-risk resolution.</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plausible lane: process mapping, exception handling, QA, and reviewer capacity around the automation workflow.</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for reviewer progress and immediate error feedback; must show accuracy as well as speed.</w:t>
            </w:r>
          </w:p>
        </w:tc>
      </w:tr>
      <w:tr>
        <w:trPr>
          <w:cantSplit/>
        </w:trPr>
        <w:tc>
          <w:tcPr>
            <w:tcW w:type="dxa" w:w="2045"/>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8. MBA competition</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Generic segmentation/positioning language; low differentiation without ranking, judges, market evidence, or output.</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Generic case analysis; respectable but weaker than real transaction, FP&amp;A, or investment work.</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I3 T4</w:t>
            </w:r>
          </w:p>
          <w:p>
            <w:pPr>
              <w:spacing w:after="16" w:line="240" w:lineRule="auto" w:before="0"/>
            </w:pPr>
            <w:r>
              <w:rPr>
                <w:rFonts w:ascii="Aptos" w:hAnsi="Aptos"/>
                <w:b w:val="0"/>
                <w:i w:val="0"/>
                <w:sz w:val="12"/>
              </w:rPr>
              <w:t>Plausible roadmap work; low impact because the product was not shipped.</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I3 T4</w:t>
            </w:r>
          </w:p>
          <w:p>
            <w:pPr>
              <w:spacing w:after="16" w:line="240" w:lineRule="auto" w:before="0"/>
            </w:pPr>
            <w:r>
              <w:rPr>
                <w:rFonts w:ascii="Aptos" w:hAnsi="Aptos"/>
                <w:b w:val="0"/>
                <w:i w:val="0"/>
                <w:sz w:val="12"/>
              </w:rPr>
              <w:t>Structured ambiguity is relevant but commonplace. Selectivity and result must carry the signal.</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Plausible if the student owned workplan, team cadence, deliverable quality, and competition-day execution.</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Use only if the competition artifact actually included an interactive or simulation-based experience.</w:t>
            </w:r>
          </w:p>
        </w:tc>
      </w:tr>
      <w:tr>
        <w:trPr>
          <w:cantSplit/>
        </w:trPr>
        <w:tc>
          <w:tcPr>
            <w:tcW w:type="dxa" w:w="2045"/>
            <w:vAlign w:val="center"/>
            <w:tcMar>
              <w:top w:w="70" w:type="dxa"/>
              <w:start w:w="85" w:type="dxa"/>
              <w:bottom w:w="70" w:type="dxa"/>
              <w:end w:w="85" w:type="dxa"/>
            </w:tcMar>
          </w:tcPr>
          <w:p>
            <w:pPr>
              <w:spacing w:after="16" w:before="0" w:line="240" w:lineRule="auto"/>
            </w:pPr>
            <w:r>
              <w:rPr>
                <w:rFonts w:ascii="Aptos" w:hAnsi="Aptos"/>
                <w:b/>
                <w:i w:val="0"/>
                <w:color w:val="1F4D78"/>
                <w:sz w:val="12"/>
              </w:rPr>
              <w:t>9. Community technology NGO</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Partnership/adoption framing is credible, though “sales” should be labeled partnerships or growth.</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R2 I2 T2</w:t>
            </w:r>
          </w:p>
          <w:p>
            <w:pPr>
              <w:spacing w:after="16" w:line="240" w:lineRule="auto" w:before="0"/>
            </w:pPr>
            <w:r>
              <w:rPr>
                <w:rFonts w:ascii="Aptos" w:hAnsi="Aptos"/>
                <w:b w:val="0"/>
                <w:i w:val="0"/>
                <w:sz w:val="12"/>
              </w:rPr>
              <w:t>The prior finance cell was a warning, not a résumé pointer. It lacked a budget, funding, controls, or resource-allocation achievement.</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I4 T4</w:t>
            </w:r>
          </w:p>
          <w:p>
            <w:pPr>
              <w:spacing w:after="16" w:line="240" w:lineRule="auto" w:before="0"/>
            </w:pPr>
            <w:r>
              <w:rPr>
                <w:rFonts w:ascii="Aptos" w:hAnsi="Aptos"/>
                <w:b w:val="0"/>
                <w:i w:val="0"/>
                <w:sz w:val="12"/>
              </w:rPr>
              <w:t>Curriculum iteration is credible product-like work; add engagement, completion, or learning outcome.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I4 T5</w:t>
            </w:r>
          </w:p>
          <w:p>
            <w:pPr>
              <w:spacing w:after="16" w:line="240" w:lineRule="auto" w:before="0"/>
            </w:pPr>
            <w:r>
              <w:rPr>
                <w:rFonts w:ascii="Aptos" w:hAnsi="Aptos"/>
                <w:b w:val="0"/>
                <w:i w:val="0"/>
                <w:sz w:val="12"/>
              </w:rPr>
              <w:t>Strong leadership and implementation evidence; needs delivery-quality metric beyond reach.</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Excellent lane: volunteer scheduling, curriculum standardization, institution onboarding, QA, and learner throughput.</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Strong for low-tech progression, peer accountability, and completion behavior; avoid unverified learning claims.</w:t>
            </w:r>
          </w:p>
        </w:tc>
      </w:tr>
      <w:tr>
        <w:trPr>
          <w:cantSplit/>
        </w:trPr>
        <w:tc>
          <w:tcPr>
            <w:tcW w:type="dxa" w:w="2045"/>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10. Global speaking</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I3 T4</w:t>
            </w:r>
          </w:p>
          <w:p>
            <w:pPr>
              <w:spacing w:after="16" w:line="240" w:lineRule="auto" w:before="0"/>
            </w:pPr>
            <w:r>
              <w:rPr>
                <w:rFonts w:ascii="Aptos" w:hAnsi="Aptos"/>
                <w:b w:val="0"/>
                <w:i w:val="0"/>
                <w:sz w:val="12"/>
              </w:rPr>
              <w:t>Useful category-credibility signal but not a primary work bullet. Add audience, invitation selectivity, or commercial follow-through.</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R2 I2 T2</w:t>
            </w:r>
          </w:p>
          <w:p>
            <w:pPr>
              <w:spacing w:after="16" w:line="240" w:lineRule="auto" w:before="0"/>
            </w:pPr>
            <w:r>
              <w:rPr>
                <w:rFonts w:ascii="Aptos" w:hAnsi="Aptos"/>
                <w:b w:val="0"/>
                <w:i w:val="0"/>
                <w:sz w:val="12"/>
              </w:rPr>
              <w:t>Resource-allocation language is forced unless the talk genuinely addressed finance and the speaker has finance credibility.</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R3 I3 T3</w:t>
            </w:r>
          </w:p>
          <w:p>
            <w:pPr>
              <w:spacing w:after="16" w:line="240" w:lineRule="auto" w:before="0"/>
            </w:pPr>
            <w:r>
              <w:rPr>
                <w:rFonts w:ascii="Aptos" w:hAnsi="Aptos"/>
                <w:b w:val="0"/>
                <w:i w:val="0"/>
                <w:sz w:val="12"/>
              </w:rPr>
              <w:t>Product feedback claim needs evidence that feedback changed roadmap or adoption.</w:t>
            </w:r>
          </w:p>
        </w:tc>
        <w:tc>
          <w:tcPr>
            <w:tcW w:type="dxa" w:w="2750"/>
            <w:shd w:fill="F4F8FC"/>
            <w:vAlign w:val="center"/>
            <w:tcMar>
              <w:top w:w="70" w:type="dxa"/>
              <w:start w:w="85" w:type="dxa"/>
              <w:bottom w:w="70" w:type="dxa"/>
              <w:end w:w="85" w:type="dxa"/>
            </w:tcMar>
          </w:tcPr>
          <w:p>
            <w:pPr>
              <w:spacing w:after="16" w:before="0" w:line="240" w:lineRule="auto"/>
            </w:pPr>
            <w:r>
              <w:rPr>
                <w:rFonts w:ascii="Aptos" w:hAnsi="Aptos"/>
                <w:b/>
                <w:i w:val="0"/>
                <w:color w:val="1F4D78"/>
                <w:sz w:val="12"/>
              </w:rPr>
              <w:t>R4 I3 T4</w:t>
            </w:r>
          </w:p>
          <w:p>
            <w:pPr>
              <w:spacing w:after="16" w:line="240" w:lineRule="auto" w:before="0"/>
            </w:pPr>
            <w:r>
              <w:rPr>
                <w:rFonts w:ascii="Aptos" w:hAnsi="Aptos"/>
                <w:b w:val="0"/>
                <w:i w:val="0"/>
                <w:sz w:val="12"/>
              </w:rPr>
              <w:t>Good communication signal; less impressive than owned client impact and best kept in Other.</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Limited résumé value unless the person owned multi-market event delivery, logistics, or content operations.</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Credible if sessions used interactive challenges and captured engagement/learning data; otherwise omit.</w:t>
            </w:r>
          </w:p>
        </w:tc>
      </w:tr>
      <w:tr>
        <w:trPr>
          <w:cantSplit/>
        </w:trPr>
        <w:tc>
          <w:tcPr>
            <w:tcW w:type="dxa" w:w="2045"/>
            <w:vAlign w:val="center"/>
            <w:tcMar>
              <w:top w:w="70" w:type="dxa"/>
              <w:start w:w="85" w:type="dxa"/>
              <w:bottom w:w="70" w:type="dxa"/>
              <w:end w:w="85" w:type="dxa"/>
            </w:tcMar>
          </w:tcPr>
          <w:p>
            <w:pPr>
              <w:spacing w:after="16" w:before="0" w:line="240" w:lineRule="auto"/>
            </w:pPr>
            <w:r>
              <w:rPr>
                <w:rFonts w:ascii="Aptos" w:hAnsi="Aptos"/>
                <w:b/>
                <w:i w:val="0"/>
                <w:color w:val="1F4D78"/>
                <w:sz w:val="12"/>
              </w:rPr>
              <w:t>11. Skills line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 T5</w:t>
            </w:r>
          </w:p>
          <w:p>
            <w:pPr>
              <w:spacing w:after="16" w:line="240" w:lineRule="auto" w:before="0"/>
            </w:pPr>
            <w:r>
              <w:rPr>
                <w:rFonts w:ascii="Aptos" w:hAnsi="Aptos"/>
                <w:b w:val="0"/>
                <w:i w:val="0"/>
                <w:sz w:val="12"/>
              </w:rPr>
              <w:t>Relevant index if backed by examples; separate sales tools from marketing strategy and avoid unverified proficiency.</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R4 I– T5</w:t>
            </w:r>
          </w:p>
          <w:p>
            <w:pPr>
              <w:spacing w:after="16" w:line="240" w:lineRule="auto" w:before="0"/>
            </w:pPr>
            <w:r>
              <w:rPr>
                <w:rFonts w:ascii="Aptos" w:hAnsi="Aptos"/>
                <w:b w:val="0"/>
                <w:i w:val="0"/>
                <w:sz w:val="12"/>
              </w:rPr>
              <w:t>Good keywords but mixes IB, FP&amp;A, and accounting. Tailor the line to one recruiting lane.</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 T5</w:t>
            </w:r>
          </w:p>
          <w:p>
            <w:pPr>
              <w:spacing w:after="16" w:line="240" w:lineRule="auto" w:before="0"/>
            </w:pPr>
            <w:r>
              <w:rPr>
                <w:rFonts w:ascii="Aptos" w:hAnsi="Aptos"/>
                <w:b w:val="0"/>
                <w:i w:val="0"/>
                <w:sz w:val="12"/>
              </w:rPr>
              <w:t>Strong top-tech vocabulary if every tool maps to shipped work; avoid listing overlapping analytics tools without depth.</w:t>
            </w:r>
          </w:p>
        </w:tc>
        <w:tc>
          <w:tcPr>
            <w:tcW w:type="dxa" w:w="2750"/>
            <w:vAlign w:val="center"/>
            <w:tcMar>
              <w:top w:w="70" w:type="dxa"/>
              <w:start w:w="85" w:type="dxa"/>
              <w:bottom w:w="70" w:type="dxa"/>
              <w:end w:w="85" w:type="dxa"/>
            </w:tcMar>
          </w:tcPr>
          <w:p>
            <w:pPr>
              <w:spacing w:after="16" w:before="0" w:line="240" w:lineRule="auto"/>
            </w:pPr>
            <w:r>
              <w:rPr>
                <w:rFonts w:ascii="Aptos" w:hAnsi="Aptos"/>
                <w:b/>
                <w:i w:val="0"/>
                <w:color w:val="1F4D78"/>
                <w:sz w:val="12"/>
              </w:rPr>
              <w:t>R5 I– T5</w:t>
            </w:r>
          </w:p>
          <w:p>
            <w:pPr>
              <w:spacing w:after="16" w:line="240" w:lineRule="auto" w:before="0"/>
            </w:pPr>
            <w:r>
              <w:rPr>
                <w:rFonts w:ascii="Aptos" w:hAnsi="Aptos"/>
                <w:b w:val="0"/>
                <w:i w:val="0"/>
                <w:sz w:val="12"/>
              </w:rPr>
              <w:t>Coherent strategy/operations index; add specific program/BI tools only when used.</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Add process mapping, capacity planning, Lean/Kaizen, SOPs, quality, SLA, cost/unit, throughput, and people leadership.</w:t>
            </w:r>
          </w:p>
        </w:tc>
        <w:tc>
          <w:tcPr>
            <w:tcW w:type="dxa" w:w="2750"/>
            <w:vAlign w:val="center"/>
            <w:tcMar>
              <w:top w:w="70" w:type="dxa"/>
              <w:start w:w="85" w:type="dxa"/>
              <w:bottom w:w="70" w:type="dxa"/>
              <w:end w:w="85" w:type="dxa"/>
            </w:tcMar>
          </w:tcPr>
          <w:p>
            <w:pPr>
              <w:spacing w:before="0" w:after="16" w:line="240" w:lineRule="auto"/>
            </w:pPr>
            <w:r>
              <w:rPr>
                <w:rFonts w:ascii="Aptos" w:hAnsi="Aptos"/>
                <w:b w:val="0"/>
                <w:color w:val="1F2933"/>
                <w:sz w:val="12"/>
              </w:rPr>
              <w:t>N/A · Missing. Add behavioral diagnosis, progression/reward systems, experimentation, retention, mastery, fairness, and economy balancing.</w:t>
            </w:r>
          </w:p>
        </w:tc>
      </w:tr>
    </w:tbl>
    <w:p>
      <w:pPr>
        <w:pStyle w:val="Heading1"/>
        <w:keepNext/>
        <w:pageBreakBefore/>
      </w:pPr>
      <w:r>
        <w:t>What the revision changes</w:t>
      </w:r>
    </w:p>
    <w:p>
      <w:pPr>
        <w:pStyle w:val="WorkshopBullet"/>
      </w:pPr>
      <w:r>
        <w:t>Expands work experience from five to thirteen shared projects drawn from recurring source-repository themes: transactions, wealth-tech, fintech, AI, consulting products, education partnerships, global distribution, operating-model design, team scaling, family business transformation, vendor economics, public policy/grants, and NGO delivery.</w:t>
      </w:r>
    </w:p>
    <w:p>
      <w:pPr>
        <w:pStyle w:val="WorkshopBullet"/>
      </w:pPr>
      <w:r>
        <w:t>Tags each functional lane. Finance distinguishes Corporate Development/IB, Investment/Wealth, FP&amp;A, Controllership, Vendor Finance, Grant Accounting, and Nonprofit Finance. Operations distinguishes marketplace, service-delivery, program, partner, workforce, and nonprofit operations. Gamification distinguishes progression, feedback, challenge, social, simulation, and behavioral-design systems.</w:t>
      </w:r>
    </w:p>
    <w:p>
      <w:pPr>
        <w:pStyle w:val="WorkshopBullet"/>
      </w:pPr>
      <w:r>
        <w:t>Uses contribution-level causality. Shared outcomes remain visible, but individual bullets say enabled, supported, underpinned, or contributed unless the hypothetical person directly owned the result.</w:t>
      </w:r>
    </w:p>
    <w:p>
      <w:pPr>
        <w:pStyle w:val="WorkshopBullet"/>
      </w:pPr>
      <w:r>
        <w:t>Adds concrete work products—target list, model, PRD, launch plan, SOP, capacity plan, control framework, decision memo, progression map, reward logic, experiment design, and governance cadence—so students can defend what they actually did.</w:t>
      </w:r>
    </w:p>
    <w:p>
      <w:pPr>
        <w:pStyle w:val="Heading1"/>
        <w:keepNext/>
        <w:pageBreakBefore w:val="0"/>
      </w:pPr>
      <w:r>
        <w:t>Revised work-experience matrix</w:t>
      </w:r>
    </w:p>
    <w:p>
      <w:pPr>
        <w:spacing w:after="100"/>
      </w:pPr>
      <w:r>
        <w:rPr>
          <w:rFonts w:ascii="Calibri" w:hAnsi="Calibri"/>
          <w:b w:val="0"/>
          <w:i/>
          <w:color w:val="666666"/>
          <w:sz w:val="16"/>
        </w:rPr>
      </w:r>
      <w:r>
        <w:t>Thirteen shared work contexts produce 78 function-specific examples. The bracketed lane is a workshop label and would not normally appear in the final résumé.</w:t>
      </w:r>
    </w:p>
    <w:tbl>
      <w:tblPr>
        <w:tblW w:type="dxa" w:w="18545"/>
        <w:jc w:val="left"/>
        <w:tblLook w:firstColumn="1" w:firstRow="1" w:lastColumn="0" w:lastRow="0" w:noHBand="0" w:noVBand="1" w:val="04A0"/>
        <w:tblInd w:w="85" w:type="dxa"/>
        <w:tblLayout w:type="fixed"/>
      </w:tblPr>
      <w:tblGrid>
        <w:gridCol w:w="2045"/>
        <w:gridCol w:w="2750"/>
        <w:gridCol w:w="2750"/>
        <w:gridCol w:w="2750"/>
        <w:gridCol w:w="2750"/>
        <w:gridCol w:w="2750"/>
        <w:gridCol w:w="2750"/>
      </w:tblGrid>
      <w:tr>
        <w:trPr>
          <w:tblHeader w:val="true"/>
        </w:trPr>
        <w:tc>
          <w:tcPr>
            <w:tcW w:type="dxa" w:w="2045"/>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Shared project fact pattern</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Sales &amp; marketing</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Finance &amp; accounting</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Product development</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Chief of staff / consulting</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Operations</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Gamification / engagement design</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1. M&amp;A marketplace turnaround</w:t>
              <w:br/>
              <w:br/>
              <w:t>Context: success-fee revenue volatility, buyer diligence friction, co-founder exits, and stalled financing.</w:t>
              <w:br/>
              <w:t>Outcome: $600K subscription run-rate; deal value 6x to $30K; sales cycle -40%; 500+ CFO hours saved; $10M Series A supported.</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Enterprise Sales / BD</w:t>
            </w:r>
          </w:p>
          <w:p>
            <w:pPr>
              <w:spacing w:after="14" w:line="240" w:lineRule="auto" w:before="0"/>
            </w:pPr>
            <w:r>
              <w:rPr>
                <w:rFonts w:ascii="Aptos" w:hAnsi="Aptos"/>
                <w:b w:val="0"/>
                <w:i w:val="0"/>
                <w:sz w:val="12"/>
              </w:rPr>
              <w:t>Segmented family-business sellers and PE-backed buyers, rebuilt the value proposition around “extended CFO” support, and launched a partner-led outbound motion that shortened the measured sales cycle 40% and increased average deal value 6x to $30K.</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Corporate Development / IB</w:t>
            </w:r>
          </w:p>
          <w:p>
            <w:pPr>
              <w:spacing w:after="14" w:line="240" w:lineRule="auto" w:before="0"/>
            </w:pPr>
            <w:r>
              <w:rPr>
                <w:rFonts w:ascii="Aptos" w:hAnsi="Aptos"/>
                <w:b w:val="0"/>
                <w:i w:val="0"/>
                <w:sz w:val="12"/>
              </w:rPr>
              <w:t>Built a proprietary target list from public and lending datasets, screened 50 off-market companies, normalized SDE for 12 priority targets, and prepared LBO/debt-capacity sensitivities used in buyer diligence and the platform’s Series A materials.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B2B Product Management</w:t>
            </w:r>
          </w:p>
          <w:p>
            <w:pPr>
              <w:spacing w:after="14" w:line="240" w:lineRule="auto" w:before="0"/>
            </w:pPr>
            <w:r>
              <w:rPr>
                <w:rFonts w:ascii="Aptos" w:hAnsi="Aptos"/>
                <w:b w:val="0"/>
                <w:i w:val="0"/>
                <w:sz w:val="12"/>
              </w:rPr>
              <w:t>Converted buyer diligence pain points into pre-vetted seller profiles, matching rules, and an evaluation workflow; prioritized data-quality and review features that saved CFO users 500+ annual hours and supported subscription conversion.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Turnaround / Strategy</w:t>
            </w:r>
          </w:p>
          <w:p>
            <w:pPr>
              <w:spacing w:after="14" w:line="240" w:lineRule="auto" w:before="0"/>
            </w:pPr>
            <w:r>
              <w:rPr>
                <w:rFonts w:ascii="Aptos" w:hAnsi="Aptos"/>
                <w:b w:val="0"/>
                <w:i w:val="0"/>
                <w:sz w:val="12"/>
              </w:rPr>
              <w:t>Diagnosed revenue volatility and executive churn, structured the subscription-pivot decision, and aligned founders on pricing, investor narrative, and weekly execution milestones; the workstream underpinned a $600K run-rate and Series A process.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Marketplace Operations</w:t>
            </w:r>
          </w:p>
          <w:p>
            <w:pPr>
              <w:spacing w:before="0" w:after="14" w:line="240" w:lineRule="auto"/>
            </w:pPr>
            <w:r>
              <w:rPr>
                <w:rFonts w:ascii="Aptos" w:hAnsi="Aptos"/>
                <w:color w:val="1F2933"/>
                <w:sz w:val="12"/>
              </w:rPr>
              <w:t>Standardized seller intake, diligence checklists, buyer handoffs, and weekly SLA reviews; cut median diligence cycle 40% and released 500+ CFO hours while supporting the $600K subscription run-rate.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Marketplace Engagement Design</w:t>
            </w:r>
          </w:p>
          <w:p>
            <w:pPr>
              <w:spacing w:before="0" w:after="14" w:line="240" w:lineRule="auto"/>
            </w:pPr>
            <w:r>
              <w:rPr>
                <w:rFonts w:ascii="Aptos" w:hAnsi="Aptos"/>
                <w:color w:val="1F2933"/>
                <w:sz w:val="12"/>
              </w:rPr>
              <w:t>Mapped buyer and seller drop-off, then tested readiness milestones, completion feedback, and progress visibility; increased profile completeness 45%→78% and qualified matches 25% in the pilot.</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2. AIF and portfolio-management marketplace</w:t>
              <w:br/>
              <w:br/>
              <w:t>Context: banks feared client poaching; fund managers lacked comparable decision data.</w:t>
              <w:br/>
              <w:t>Outcome: 3 bank MOUs, $10M follow-on financing supported, governed pilot designed.</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Institutional Sales / Partnerships</w:t>
            </w:r>
          </w:p>
          <w:p>
            <w:pPr>
              <w:spacing w:after="14" w:line="240" w:lineRule="auto" w:before="0"/>
            </w:pPr>
            <w:r>
              <w:rPr>
                <w:rFonts w:ascii="Aptos" w:hAnsi="Aptos"/>
                <w:b w:val="0"/>
                <w:i w:val="0"/>
                <w:sz w:val="12"/>
              </w:rPr>
              <w:t>Converted discovery with seven fund houses and private banks into a governed distribution proposition, account plan, and pilot pipeline; secured three high-LTV bank MOUs by addressing client ownership, advisor incentives, and HNI suitability.</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Investment / Wealth Management</w:t>
            </w:r>
          </w:p>
          <w:p>
            <w:pPr>
              <w:spacing w:after="14" w:line="240" w:lineRule="auto" w:before="0"/>
            </w:pPr>
            <w:r>
              <w:rPr>
                <w:rFonts w:ascii="Aptos" w:hAnsi="Aptos"/>
                <w:b w:val="0"/>
                <w:i w:val="0"/>
                <w:sz w:val="12"/>
              </w:rPr>
              <w:t>Standardized net cash flows, fees, liquidity, and downside scenarios; modeled IRR/MOIC/TVPI for closed-end AIFs and net-return/risk measures for portfolio-management-firm offerings; analysis supported bank diligence and a $10M financing narrative.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Fintech Product Management</w:t>
            </w:r>
          </w:p>
          <w:p>
            <w:pPr>
              <w:spacing w:after="14" w:line="240" w:lineRule="auto" w:before="0"/>
            </w:pPr>
            <w:r>
              <w:rPr>
                <w:rFonts w:ascii="Aptos" w:hAnsi="Aptos"/>
                <w:b w:val="0"/>
                <w:i w:val="0"/>
                <w:sz w:val="12"/>
              </w:rPr>
              <w:t>Translated banker, fund-manager, and HNI research into data-ingestion rules, eligibility logic, comparable investment views, and suitability workflows; pilot design made risk-return and liquidity trade-offs decision-ready instead of merely listing products.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Ecosystem Strategy / CoS</w:t>
            </w:r>
          </w:p>
          <w:p>
            <w:pPr>
              <w:spacing w:after="14" w:line="240" w:lineRule="auto" w:before="0"/>
            </w:pPr>
            <w:r>
              <w:rPr>
                <w:rFonts w:ascii="Aptos" w:hAnsi="Aptos"/>
                <w:b w:val="0"/>
                <w:i w:val="0"/>
                <w:sz w:val="12"/>
              </w:rPr>
              <w:t>Owned the cross-ecosystem decision process across founders, banks, and fund houses; resolved client-ownership conflict through governance principles, sequenced a pilot, and converted research into an investable marketplace plan that enabled three bank MOUs.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Partner / Investment Operations</w:t>
            </w:r>
          </w:p>
          <w:p>
            <w:pPr>
              <w:spacing w:before="0" w:after="14" w:line="240" w:lineRule="auto"/>
            </w:pPr>
            <w:r>
              <w:rPr>
                <w:rFonts w:ascii="Aptos" w:hAnsi="Aptos"/>
                <w:color w:val="1F2933"/>
                <w:sz w:val="12"/>
              </w:rPr>
              <w:t>Designed fund-onboarding, data-refresh, suitability-review, and bank-escalation workflows; reduced pilot-preparation time 10→6 weeks and created the service controls supporting three bank MOUs.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Responsible Engagement Design</w:t>
            </w:r>
          </w:p>
          <w:p>
            <w:pPr>
              <w:spacing w:before="0" w:after="14" w:line="240" w:lineRule="auto"/>
            </w:pPr>
            <w:r>
              <w:rPr>
                <w:rFonts w:ascii="Aptos" w:hAnsi="Aptos"/>
                <w:color w:val="1F2933"/>
                <w:sz w:val="12"/>
              </w:rPr>
              <w:t>Prototyped goal-based scenarios, comparison checkpoints, and progress feedback that raised pilot completion 30%; excluded commission-linked rankings and documented suitability and disclosure guardrails.</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3. VC-backed fintech PMF pivot</w:t>
              <w:br/>
              <w:br/>
              <w:t>Context: committed capital was tied to a feature-heavy roadmap with weak adoption signals.</w:t>
              <w:br/>
              <w:t>Outcome: MVP launched in 3 vs. 6 months; capital redirected to validated use cases.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Growth / Product Marketing</w:t>
            </w:r>
          </w:p>
          <w:p>
            <w:pPr>
              <w:spacing w:after="14" w:line="240" w:lineRule="auto" w:before="0"/>
            </w:pPr>
            <w:r>
              <w:rPr>
                <w:rFonts w:ascii="Aptos" w:hAnsi="Aptos"/>
                <w:b w:val="0"/>
                <w:i w:val="0"/>
                <w:sz w:val="12"/>
              </w:rPr>
              <w:t>Identified a higher-intent segment through interviews, competitor mapping, and message tests; rebuilt the launch narrative around the validated job-to-be-done and generated a qualified beta cohort that accelerated market entry from six to three months.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FP&amp;A / Finance Business Partner</w:t>
            </w:r>
          </w:p>
          <w:p>
            <w:pPr>
              <w:spacing w:after="14" w:line="240" w:lineRule="auto" w:before="0"/>
            </w:pPr>
            <w:r>
              <w:rPr>
                <w:rFonts w:ascii="Aptos" w:hAnsi="Aptos"/>
                <w:b w:val="0"/>
                <w:i w:val="0"/>
                <w:sz w:val="12"/>
              </w:rPr>
              <w:t>Modeled CAC, activation, conversion, retention, payback, and cash-runway scenarios for the original roadmap versus staged release; recommendation redirected committed capital to the validated wedge and preserved three months of launch runway.</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Consumer Product Management</w:t>
            </w:r>
          </w:p>
          <w:p>
            <w:pPr>
              <w:spacing w:after="14" w:line="240" w:lineRule="auto" w:before="0"/>
            </w:pPr>
            <w:r>
              <w:rPr>
                <w:rFonts w:ascii="Aptos" w:hAnsi="Aptos"/>
                <w:b w:val="0"/>
                <w:i w:val="0"/>
                <w:sz w:val="12"/>
              </w:rPr>
              <w:t>Led discovery through interviews, competitor teardown, A/B tests, and beta telemetry; removed low-signal features, wrote the MVP requirements, and reprioritized the backlog to launch in three months instead of six.</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CEO Office / Strategy</w:t>
            </w:r>
          </w:p>
          <w:p>
            <w:pPr>
              <w:spacing w:after="14" w:line="240" w:lineRule="auto" w:before="0"/>
            </w:pPr>
            <w:r>
              <w:rPr>
                <w:rFonts w:ascii="Aptos" w:hAnsi="Aptos"/>
                <w:b w:val="0"/>
                <w:i w:val="0"/>
                <w:sz w:val="12"/>
              </w:rPr>
              <w:t>Synthesized customer evidence, unit economics, delivery risk, and investor commitments into the CEO’s roadmap-reset memo; aligned product and engineering on a phased plan that halved time to market while protecting runway.</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Fintech Program Operations</w:t>
            </w:r>
          </w:p>
          <w:p>
            <w:pPr>
              <w:spacing w:before="0" w:after="14" w:line="240" w:lineRule="auto"/>
            </w:pPr>
            <w:r>
              <w:rPr>
                <w:rFonts w:ascii="Aptos" w:hAnsi="Aptos"/>
                <w:color w:val="1F2933"/>
                <w:sz w:val="12"/>
              </w:rPr>
              <w:t>Installed release gates, owner-level dependency tracking, support-capacity planning, and launch-readiness reviews across product, compliance, and distribution; helped compress launch time 6→3 months.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Activation / Onboarding Design</w:t>
            </w:r>
          </w:p>
          <w:p>
            <w:pPr>
              <w:spacing w:before="0" w:after="14" w:line="240" w:lineRule="auto"/>
            </w:pPr>
            <w:r>
              <w:rPr>
                <w:rFonts w:ascii="Aptos" w:hAnsi="Aptos"/>
                <w:color w:val="1F2933"/>
                <w:sz w:val="12"/>
              </w:rPr>
              <w:t>Converted first-use friction into a sequenced onboarding journey with short missions, immediate feedback, and milestone recovery; improved activation 18% and reduced time-to-first-value 25% in testing.</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4. Enterprise AI account recovery</w:t>
              <w:br/>
              <w:br/>
              <w:t>Context: a digital-forensics vendor lost accounts to AI-first competitors.</w:t>
              <w:br/>
              <w:t>Outcome: 6 of 8 enterprise clients recovered; LTV +18%.</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Enterprise Sales / Account Management</w:t>
            </w:r>
          </w:p>
          <w:p>
            <w:pPr>
              <w:spacing w:after="14" w:line="240" w:lineRule="auto" w:before="0"/>
            </w:pPr>
            <w:r>
              <w:rPr>
                <w:rFonts w:ascii="Aptos" w:hAnsi="Aptos"/>
                <w:b w:val="0"/>
                <w:i w:val="0"/>
                <w:sz w:val="12"/>
              </w:rPr>
              <w:t>Built an eight-account win-back plan, reframed AI features around investigator productivity and evidentiary risk, and led proof-of-value conversations that recovered six churned enterprise accounts and increased client LTV 18%.</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Finance Business Partner</w:t>
            </w:r>
          </w:p>
          <w:p>
            <w:pPr>
              <w:spacing w:after="14" w:line="240" w:lineRule="auto" w:before="0"/>
            </w:pPr>
            <w:r>
              <w:rPr>
                <w:rFonts w:ascii="Aptos" w:hAnsi="Aptos"/>
                <w:b w:val="0"/>
                <w:i w:val="0"/>
                <w:sz w:val="12"/>
              </w:rPr>
              <w:t>Quantified churn-at-risk, implementation cost, renewal probability, and expansion NPV for build-versus-buy options; the approved investment case prioritized the AI assistant and established account-level LTV targets for the recovery program.</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AI Product Management</w:t>
            </w:r>
          </w:p>
          <w:p>
            <w:pPr>
              <w:spacing w:after="14" w:line="240" w:lineRule="auto" w:before="0"/>
            </w:pPr>
            <w:r>
              <w:rPr>
                <w:rFonts w:ascii="Aptos" w:hAnsi="Aptos"/>
                <w:b w:val="0"/>
                <w:i w:val="0"/>
                <w:sz w:val="12"/>
              </w:rPr>
              <w:t>Defined and launched a secure investigator assistant with object search, anomaly alerts, and multimedia summarization; instrumented feature use and reduced non-technical workflow friction, contributing to recovery of six of eight enterprise accounts.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Transformation / CoS</w:t>
            </w:r>
          </w:p>
          <w:p>
            <w:pPr>
              <w:spacing w:after="14" w:line="240" w:lineRule="auto" w:before="0"/>
            </w:pPr>
            <w:r>
              <w:rPr>
                <w:rFonts w:ascii="Aptos" w:hAnsi="Aptos"/>
                <w:b w:val="0"/>
                <w:i w:val="0"/>
                <w:sz w:val="12"/>
              </w:rPr>
              <w:t>Ran the executive recovery workstream across Sales, Product, Security, and Customer Success; converted churn evidence into decisions, removed launch dependencies, and established weekly account milestones that enabled six enterprise recoveries.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Enterprise Customer Operations</w:t>
            </w:r>
          </w:p>
          <w:p>
            <w:pPr>
              <w:spacing w:before="0" w:after="14" w:line="240" w:lineRule="auto"/>
            </w:pPr>
            <w:r>
              <w:rPr>
                <w:rFonts w:ascii="Aptos" w:hAnsi="Aptos"/>
                <w:color w:val="1F2933"/>
                <w:sz w:val="12"/>
              </w:rPr>
              <w:t>Created incident triage, reliability reviews, adoption playbooks, and executive account-health mechanisms across eight at-risk clients; supported recovery of six accounts and an 18% LTV increase.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Enterprise Adoption Design</w:t>
            </w:r>
          </w:p>
          <w:p>
            <w:pPr>
              <w:spacing w:before="0" w:after="14" w:line="240" w:lineRule="auto"/>
            </w:pPr>
            <w:r>
              <w:rPr>
                <w:rFonts w:ascii="Aptos" w:hAnsi="Aptos"/>
                <w:color w:val="1F2933"/>
                <w:sz w:val="12"/>
              </w:rPr>
              <w:t>Built role-based practice missions and mastery feedback around the AI workflow; increased weekly active use 32% across the recovery cohort and contributed to renewal of six of eight accounts.</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5. Consulting diagnostic and upsell engine</w:t>
              <w:br/>
              <w:br/>
              <w:t>Context: a Canadian consultancy faced declining revenue and weak needs discovery.</w:t>
              <w:br/>
              <w:t>Outcome: revenue +35%; attach rate 80%; referrals +30%; NPS above 90.</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Consultative Sales / Growth</w:t>
            </w:r>
          </w:p>
          <w:p>
            <w:pPr>
              <w:spacing w:after="14" w:line="240" w:lineRule="auto" w:before="0"/>
            </w:pPr>
            <w:r>
              <w:rPr>
                <w:rFonts w:ascii="Aptos" w:hAnsi="Aptos"/>
                <w:b w:val="0"/>
                <w:i w:val="0"/>
                <w:sz w:val="12"/>
              </w:rPr>
              <w:t>Redesigned discovery around a gamified organizational-needs diagnostic, trained consultants to convert signals into targeted offers, and implemented follow-up plays that produced an 80% attach rate, 35% revenue growth, and 30% referral growth.</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FP&amp;A / Pricing</w:t>
            </w:r>
          </w:p>
          <w:p>
            <w:pPr>
              <w:spacing w:after="14" w:line="240" w:lineRule="auto" w:before="0"/>
            </w:pPr>
            <w:r>
              <w:rPr>
                <w:rFonts w:ascii="Aptos" w:hAnsi="Aptos"/>
                <w:b w:val="0"/>
                <w:i w:val="0"/>
                <w:sz w:val="12"/>
              </w:rPr>
              <w:t>Modeled service-line margin, delivery capacity, attach economics, and price realization for diagnostic-led engagements; recommended packaging and utilization thresholds that improved hourly yield and supported 35% revenue growth.</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B2B Product Management</w:t>
            </w:r>
          </w:p>
          <w:p>
            <w:pPr>
              <w:spacing w:after="14" w:line="240" w:lineRule="auto" w:before="0"/>
            </w:pPr>
            <w:r>
              <w:rPr>
                <w:rFonts w:ascii="Aptos" w:hAnsi="Aptos"/>
                <w:b w:val="0"/>
                <w:i w:val="0"/>
                <w:sz w:val="12"/>
              </w:rPr>
              <w:t>Led research with consultants and clients, converted qualitative needs into a scoring model and recommendation workflow, and iterated the diagnostic using session data; product adoption reached an 80% attach rate and NPS above 90.</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Growth Strategy / Consulting</w:t>
            </w:r>
          </w:p>
          <w:p>
            <w:pPr>
              <w:spacing w:after="14" w:line="240" w:lineRule="auto" w:before="0"/>
            </w:pPr>
            <w:r>
              <w:rPr>
                <w:rFonts w:ascii="Aptos" w:hAnsi="Aptos"/>
                <w:b w:val="0"/>
                <w:i w:val="0"/>
                <w:sz w:val="12"/>
              </w:rPr>
              <w:t>Diagnosed revenue decline, facilitated the partner decision on a diagnostic-led growth model, and embedded new discovery and referral routines; implementation contributed to 35% revenue growth and sustained attach-rate improvement.</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Service Delivery Operations</w:t>
            </w:r>
          </w:p>
          <w:p>
            <w:pPr>
              <w:spacing w:before="0" w:after="14" w:line="240" w:lineRule="auto"/>
            </w:pPr>
            <w:r>
              <w:rPr>
                <w:rFonts w:ascii="Aptos" w:hAnsi="Aptos"/>
                <w:color w:val="1F2933"/>
                <w:sz w:val="12"/>
              </w:rPr>
              <w:t>Standardized diagnostic intake, analyst staffing, recommendation QA, and 30-day follow-through; reduced turnaround 35% while supporting 80% service attach and NPS above 90.</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Diagnostic Experience Design</w:t>
            </w:r>
          </w:p>
          <w:p>
            <w:pPr>
              <w:spacing w:before="0" w:after="14" w:line="240" w:lineRule="auto"/>
            </w:pPr>
            <w:r>
              <w:rPr>
                <w:rFonts w:ascii="Aptos" w:hAnsi="Aptos"/>
                <w:color w:val="1F2933"/>
                <w:sz w:val="12"/>
              </w:rPr>
              <w:t>Turned the advisory journey into an interactive benchmark with progress cues, next-best actions, and referral milestones; lifted completion 28% and contributed to a 30% referral increase.</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6. Higher-education partner vertical</w:t>
              <w:br/>
              <w:br/>
              <w:t>Context: an internship platform needed a scalable, higher-LTV institutional channel.</w:t>
              <w:br/>
              <w:t>Outcome: partner network tripled to 3,000+ institutions; 10+ national alliances; ARPU +20%; retention +10%.</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Business Development / Partnerships</w:t>
            </w:r>
          </w:p>
          <w:p>
            <w:pPr>
              <w:spacing w:after="14" w:line="240" w:lineRule="auto" w:before="0"/>
            </w:pPr>
            <w:r>
              <w:rPr>
                <w:rFonts w:ascii="Aptos" w:hAnsi="Aptos"/>
                <w:b w:val="0"/>
                <w:i w:val="0"/>
                <w:sz w:val="12"/>
              </w:rPr>
              <w:t>Reframed the institutional value proposition, built regulator and workforce-agency account plans, and secured 10+ national alliances; the channel tripled college reach to 3,000+ institutions and supported 20% ARPU growth.</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Commercial FP&amp;A</w:t>
            </w:r>
          </w:p>
          <w:p>
            <w:pPr>
              <w:spacing w:after="14" w:line="240" w:lineRule="auto" w:before="0"/>
            </w:pPr>
            <w:r>
              <w:rPr>
                <w:rFonts w:ascii="Aptos" w:hAnsi="Aptos"/>
                <w:b w:val="0"/>
                <w:i w:val="0"/>
                <w:sz w:val="12"/>
              </w:rPr>
              <w:t>Built the vertical P&amp;L and cohort model across acquisition cost, onboarding expense, ARPU, retention, and partner contribution; identified the institutional channel as the higher-LTV growth path and set expansion thresholds.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Platform Product Management</w:t>
            </w:r>
          </w:p>
          <w:p>
            <w:pPr>
              <w:spacing w:after="14" w:line="240" w:lineRule="auto" w:before="0"/>
            </w:pPr>
            <w:r>
              <w:rPr>
                <w:rFonts w:ascii="Aptos" w:hAnsi="Aptos"/>
                <w:b w:val="0"/>
                <w:i w:val="0"/>
                <w:sz w:val="12"/>
              </w:rPr>
              <w:t>Mapped college-administrator workflows, simplified partner onboarding and campaign management, and prioritized institution-level reporting; product changes supported a threefold network expansion and a 10% retention increase.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Growth Strategy / Program Lead</w:t>
            </w:r>
          </w:p>
          <w:p>
            <w:pPr>
              <w:spacing w:after="14" w:line="240" w:lineRule="auto" w:before="0"/>
            </w:pPr>
            <w:r>
              <w:rPr>
                <w:rFonts w:ascii="Aptos" w:hAnsi="Aptos"/>
                <w:b w:val="0"/>
                <w:i w:val="0"/>
                <w:sz w:val="12"/>
              </w:rPr>
              <w:t>Structured the new-vertical workstream, aligned product, sales, legal, and public-sector stakeholders, and created a partner-governance cadence; execution scaled the network to 3,000+ institutions through 10+ national alliances.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Partner Operations</w:t>
            </w:r>
          </w:p>
          <w:p>
            <w:pPr>
              <w:spacing w:before="0" w:after="14" w:line="240" w:lineRule="auto"/>
            </w:pPr>
            <w:r>
              <w:rPr>
                <w:rFonts w:ascii="Aptos" w:hAnsi="Aptos"/>
                <w:color w:val="1F2933"/>
                <w:sz w:val="12"/>
              </w:rPr>
              <w:t>Built institution-onboarding playbooks, facilitator capacity plans, issue SLAs, and partner-health reviews; scaled delivery to 3,000+ institutions while halving onboarding time.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Learner Engagement Design</w:t>
            </w:r>
          </w:p>
          <w:p>
            <w:pPr>
              <w:spacing w:before="0" w:after="14" w:line="240" w:lineRule="auto"/>
            </w:pPr>
            <w:r>
              <w:rPr>
                <w:rFonts w:ascii="Aptos" w:hAnsi="Aptos"/>
                <w:color w:val="1F2933"/>
                <w:sz w:val="12"/>
              </w:rPr>
              <w:t>Introduced cohort challenges, visible skill progression, peer recognition, and re-entry prompts; increased course completion 18% and repeat participation 12% without tying rewards to grades.</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7. International partner-led expansion</w:t>
              <w:br/>
              <w:br/>
              <w:t>Context: a simulation business sought global scale without a large direct-sales force.</w:t>
              <w:br/>
              <w:t>Outcome: 40K learners across 7 countries; repeatable enterprise delivery.</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Channel Sales / PMM</w:t>
            </w:r>
          </w:p>
          <w:p>
            <w:pPr>
              <w:spacing w:after="14" w:line="240" w:lineRule="auto" w:before="0"/>
            </w:pPr>
            <w:r>
              <w:rPr>
                <w:rFonts w:ascii="Aptos" w:hAnsi="Aptos"/>
                <w:b w:val="0"/>
                <w:i w:val="0"/>
                <w:sz w:val="12"/>
              </w:rPr>
              <w:t>Recruited and enabled trainer partners in seven countries, localized positioning, and established account-based enterprise plays; the channel scaled programs to 40K learners while expanding distribution without equivalent direct-sales headcount.</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FP&amp;A / Channel Finance</w:t>
            </w:r>
          </w:p>
          <w:p>
            <w:pPr>
              <w:spacing w:after="14" w:line="240" w:lineRule="auto" w:before="0"/>
            </w:pPr>
            <w:r>
              <w:rPr>
                <w:rFonts w:ascii="Aptos" w:hAnsi="Aptos"/>
                <w:b w:val="0"/>
                <w:i w:val="0"/>
                <w:sz w:val="12"/>
              </w:rPr>
              <w:t>Built partner-level pricing, revenue-share, capacity, and cost-to-serve models; set minimum-margin and activation thresholds that prioritized scalable channels and supported controlled delivery to 40K learners.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Platform Product Management</w:t>
            </w:r>
          </w:p>
          <w:p>
            <w:pPr>
              <w:spacing w:after="14" w:line="240" w:lineRule="auto" w:before="0"/>
            </w:pPr>
            <w:r>
              <w:rPr>
                <w:rFonts w:ascii="Aptos" w:hAnsi="Aptos"/>
                <w:b w:val="0"/>
                <w:i w:val="0"/>
                <w:sz w:val="12"/>
              </w:rPr>
              <w:t>Defined reusable content modules, localization requirements, cohort analytics, and feedback loops for enterprise delivery; the platform supported repeated deployment to 40K learners across seven countries.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Operating Model / CoS</w:t>
            </w:r>
          </w:p>
          <w:p>
            <w:pPr>
              <w:spacing w:after="14" w:line="240" w:lineRule="auto" w:before="0"/>
            </w:pPr>
            <w:r>
              <w:rPr>
                <w:rFonts w:ascii="Aptos" w:hAnsi="Aptos"/>
                <w:b w:val="0"/>
                <w:i w:val="0"/>
                <w:sz w:val="12"/>
              </w:rPr>
              <w:t>Designed roles, partner onboarding, quality reviews, performance dashboards, and escalation paths across a distributed delivery network; the operating model enabled repeatable execution in seven countries.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International Program Operations</w:t>
            </w:r>
          </w:p>
          <w:p>
            <w:pPr>
              <w:spacing w:before="0" w:after="14" w:line="240" w:lineRule="auto"/>
            </w:pPr>
            <w:r>
              <w:rPr>
                <w:rFonts w:ascii="Aptos" w:hAnsi="Aptos"/>
                <w:color w:val="1F2933"/>
                <w:sz w:val="12"/>
              </w:rPr>
              <w:t>Created a repeatable country-launch playbook covering localization, facilitator certification, content QA, demand forecasting, and escalation; enabled consistent delivery to 40K learners across seven countries.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Cross-Cultural Engagement Design</w:t>
            </w:r>
          </w:p>
          <w:p>
            <w:pPr>
              <w:spacing w:before="0" w:after="14" w:line="240" w:lineRule="auto"/>
            </w:pPr>
            <w:r>
              <w:rPr>
                <w:rFonts w:ascii="Aptos" w:hAnsi="Aptos"/>
                <w:color w:val="1F2933"/>
                <w:sz w:val="12"/>
              </w:rPr>
              <w:t>Localized progression, team challenges, and feedback rhythms by market; increased module completion 12% and repeat participation 9% while preserving common learning standards.</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8. Founder-led operating-model redesign</w:t>
              <w:br/>
              <w:br/>
              <w:t>Context: a consulting startup relied on 8–15 freelancers, creating execution and cash-flow variability.</w:t>
              <w:br/>
              <w:t>Outcome: operational cost -50%; team efficiency +25%; asynchronous delivery stabilized.</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Revenue Operations</w:t>
            </w:r>
          </w:p>
          <w:p>
            <w:pPr>
              <w:spacing w:after="14" w:line="240" w:lineRule="auto" w:before="0"/>
            </w:pPr>
            <w:r>
              <w:rPr>
                <w:rFonts w:ascii="Aptos" w:hAnsi="Aptos"/>
                <w:b w:val="0"/>
                <w:i w:val="0"/>
                <w:sz w:val="12"/>
              </w:rPr>
              <w:t>Standardized opportunity qualification, proposal templates, CRM stages, and handoffs from sale to delivery; improved forecast visibility and reduced founder dependency across a distributed client pipeline.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Controllership / FP&amp;A</w:t>
            </w:r>
          </w:p>
          <w:p>
            <w:pPr>
              <w:spacing w:after="14" w:line="240" w:lineRule="auto" w:before="0"/>
            </w:pPr>
            <w:r>
              <w:rPr>
                <w:rFonts w:ascii="Aptos" w:hAnsi="Aptos"/>
                <w:b w:val="0"/>
                <w:i w:val="0"/>
                <w:sz w:val="12"/>
              </w:rPr>
              <w:t>Implemented project costing, invoice milestones, contractor accruals, a 13-week cash forecast, and monthly variance reviews; controls improved margin visibility and contributed to a 50% reduction in operating cost.</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Internal Tools Product</w:t>
            </w:r>
          </w:p>
          <w:p>
            <w:pPr>
              <w:spacing w:after="14" w:line="240" w:lineRule="auto" w:before="0"/>
            </w:pPr>
            <w:r>
              <w:rPr>
                <w:rFonts w:ascii="Aptos" w:hAnsi="Aptos"/>
                <w:b w:val="0"/>
                <w:i w:val="0"/>
                <w:sz w:val="12"/>
              </w:rPr>
              <w:t>Mapped freelancer pain points, defined a plug-and-play project workspace and performance dashboard, and iterated asynchronous workflows; adoption improved team efficiency 25% and reduced human dependency.</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Founder’s Office / Operations</w:t>
            </w:r>
          </w:p>
          <w:p>
            <w:pPr>
              <w:spacing w:after="14" w:line="240" w:lineRule="auto" w:before="0"/>
            </w:pPr>
            <w:r>
              <w:rPr>
                <w:rFonts w:ascii="Aptos" w:hAnsi="Aptos"/>
                <w:b w:val="0"/>
                <w:i w:val="0"/>
                <w:sz w:val="12"/>
              </w:rPr>
              <w:t>Redesigned cross-functional workflows, decision rights, quality gates, and performance cadence for 8–15 freelancers; the operating system stabilized asynchronous delivery and contributed to a 50% operating-cost reduction.</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Workforce / Delivery Operations</w:t>
            </w:r>
          </w:p>
          <w:p>
            <w:pPr>
              <w:spacing w:before="0" w:after="14" w:line="240" w:lineRule="auto"/>
            </w:pPr>
            <w:r>
              <w:rPr>
                <w:rFonts w:ascii="Aptos" w:hAnsi="Aptos"/>
                <w:color w:val="1F2933"/>
                <w:sz w:val="12"/>
              </w:rPr>
              <w:t>Redesigned work into specialist pods, standardized briefs and QA gates, and installed workload and utilization reviews across 8–15 freelancers; reduced cost 50% and improved delivery efficiency 25%.</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Contributor Enablement Design</w:t>
            </w:r>
          </w:p>
          <w:p>
            <w:pPr>
              <w:spacing w:before="0" w:after="14" w:line="240" w:lineRule="auto"/>
            </w:pPr>
            <w:r>
              <w:rPr>
                <w:rFonts w:ascii="Aptos" w:hAnsi="Aptos"/>
                <w:color w:val="1F2933"/>
                <w:sz w:val="12"/>
              </w:rPr>
              <w:t>Built role-based onboarding paths, mastery checks, rapid feedback, and visible contribution milestones for freelance pods; reduced time-to-independence 30% and supported a 25% efficiency gain.</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9. Corporate-training venture scale-up</w:t>
              <w:br/>
              <w:br/>
              <w:t>Context: team expanded rapidly from 2 to 118 contributors while creating 24 simulations.</w:t>
              <w:br/>
              <w:t>Outcome: revenue 12x; second-line leaders developed; enterprise programs delivered.</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Enterprise Sales / Partnerships</w:t>
            </w:r>
          </w:p>
          <w:p>
            <w:pPr>
              <w:spacing w:after="14" w:line="240" w:lineRule="auto" w:before="0"/>
            </w:pPr>
            <w:r>
              <w:rPr>
                <w:rFonts w:ascii="Aptos" w:hAnsi="Aptos"/>
                <w:b w:val="0"/>
                <w:i w:val="0"/>
                <w:sz w:val="12"/>
              </w:rPr>
              <w:t>Built enterprise use cases, partner pitches, and public/private relationship plays; secured programs with major employers and agencies, contributing to 12x revenue growth while the team scaled to 118 contributors.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FP&amp;A / Controls</w:t>
            </w:r>
          </w:p>
          <w:p>
            <w:pPr>
              <w:spacing w:after="14" w:line="240" w:lineRule="auto" w:before="0"/>
            </w:pPr>
            <w:r>
              <w:rPr>
                <w:rFonts w:ascii="Aptos" w:hAnsi="Aptos"/>
                <w:b w:val="0"/>
                <w:i w:val="0"/>
                <w:sz w:val="12"/>
              </w:rPr>
              <w:t>Introduced project budgets, contractor approvals, revenue tracking, and scenario-based headcount plans for rapid scale; improved visibility into program profitability and cash needs while revenue grew 12x.</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Learning Product Management</w:t>
            </w:r>
          </w:p>
          <w:p>
            <w:pPr>
              <w:spacing w:after="14" w:line="240" w:lineRule="auto" w:before="0"/>
            </w:pPr>
            <w:r>
              <w:rPr>
                <w:rFonts w:ascii="Aptos" w:hAnsi="Aptos"/>
                <w:b w:val="0"/>
                <w:i w:val="0"/>
                <w:sz w:val="12"/>
              </w:rPr>
              <w:t>Prioritized a 24-simulation portfolio, standardized design sprints and facilitator feedback, and managed release sequencing across a 118-person contributor base; enabled repeatable enterprise program delivery.</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Org Design / CoS</w:t>
            </w:r>
          </w:p>
          <w:p>
            <w:pPr>
              <w:spacing w:after="14" w:line="240" w:lineRule="auto" w:before="0"/>
            </w:pPr>
            <w:r>
              <w:rPr>
                <w:rFonts w:ascii="Aptos" w:hAnsi="Aptos"/>
                <w:b w:val="0"/>
                <w:i w:val="0"/>
                <w:sz w:val="12"/>
              </w:rPr>
              <w:t>Built second-line leadership, role architecture, team cadences, and escalation mechanisms as the organization grew from 2 to 118 contributors; preserved delivery while launching 24 simulations and scaling revenue 12x.</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Training Operations</w:t>
            </w:r>
          </w:p>
          <w:p>
            <w:pPr>
              <w:spacing w:before="0" w:after="14" w:line="240" w:lineRule="auto"/>
            </w:pPr>
            <w:r>
              <w:rPr>
                <w:rFonts w:ascii="Aptos" w:hAnsi="Aptos"/>
                <w:color w:val="1F2933"/>
                <w:sz w:val="12"/>
              </w:rPr>
              <w:t>Built workforce plans, production calendars, facilitator certification, and simulation-release QA as the venture grew 2→118 people; supported delivery of 24 simulations and 12× revenue growth.</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Simulation / Game Systems</w:t>
            </w:r>
          </w:p>
          <w:p>
            <w:pPr>
              <w:spacing w:before="0" w:after="14" w:line="240" w:lineRule="auto"/>
            </w:pPr>
            <w:r>
              <w:rPr>
                <w:rFonts w:ascii="Aptos" w:hAnsi="Aptos"/>
                <w:color w:val="1F2933"/>
                <w:sz w:val="12"/>
              </w:rPr>
              <w:t>Designed the challenge, feedback, difficulty, and replay loops across a 24-simulation portfolio; instrumented completion and mastery signals that informed releases contributing to 12× revenue growth.</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10. Family consumer-health transformation</w:t>
              <w:br/>
              <w:br/>
              <w:t>Context: traditional distribution, manual operations, and weak retention constrained growth.</w:t>
              <w:br/>
              <w:t>Outcome: revenue 15x in franchise initiative; OPEX -22%; AOV +40%; retention 46%→72%; Singapore/Nepal distribution.</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Sales / Channel Development</w:t>
            </w:r>
          </w:p>
          <w:p>
            <w:pPr>
              <w:spacing w:after="14" w:line="240" w:lineRule="auto" w:before="0"/>
            </w:pPr>
            <w:r>
              <w:rPr>
                <w:rFonts w:ascii="Aptos" w:hAnsi="Aptos"/>
                <w:b w:val="0"/>
                <w:i w:val="0"/>
                <w:sz w:val="12"/>
              </w:rPr>
              <w:t>Converted resistant clinics across 10 districts to a franchise model, built reseller relationships in Singapore and Nepal, and introduced upsell/cross-sell plays; initiative served 8K customers monthly and contributed to 15x revenue growth.</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FP&amp;A / Working Capital</w:t>
            </w:r>
          </w:p>
          <w:p>
            <w:pPr>
              <w:spacing w:after="14" w:line="240" w:lineRule="auto" w:before="0"/>
            </w:pPr>
            <w:r>
              <w:rPr>
                <w:rFonts w:ascii="Aptos" w:hAnsi="Aptos"/>
                <w:b w:val="0"/>
                <w:i w:val="0"/>
                <w:sz w:val="12"/>
              </w:rPr>
              <w:t>Built SKU- and channel-margin views, working-capital forecasts, and distributor economics; analysis prioritized higher-margin bundles and digital processes that contributed to 22% lower operating cost and stronger cash predictability.</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Commerce Product / Digital</w:t>
            </w:r>
          </w:p>
          <w:p>
            <w:pPr>
              <w:spacing w:after="14" w:line="240" w:lineRule="auto" w:before="0"/>
            </w:pPr>
            <w:r>
              <w:rPr>
                <w:rFonts w:ascii="Aptos" w:hAnsi="Aptos"/>
                <w:b w:val="0"/>
                <w:i w:val="0"/>
                <w:sz w:val="12"/>
              </w:rPr>
              <w:t>Redesigned digital ordering, product bundles, and retention journeys using purchase behavior and customer feedback; changes increased average order value 40% and retention from 46% to 72%.</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Family Business Strategy</w:t>
            </w:r>
          </w:p>
          <w:p>
            <w:pPr>
              <w:spacing w:after="14" w:line="240" w:lineRule="auto" w:before="0"/>
            </w:pPr>
            <w:r>
              <w:rPr>
                <w:rFonts w:ascii="Aptos" w:hAnsi="Aptos"/>
                <w:b w:val="0"/>
                <w:i w:val="0"/>
                <w:sz w:val="12"/>
              </w:rPr>
              <w:t>Structured the franchise, digital-transformation, and cross-border expansion roadmap; aligned family owners, clinics, and distributors on governance and milestones, enabling entry into Singapore and Nepal while modernizing operations.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Consumer / Supply Operations</w:t>
            </w:r>
          </w:p>
          <w:p>
            <w:pPr>
              <w:spacing w:before="0" w:after="14" w:line="240" w:lineRule="auto"/>
            </w:pPr>
            <w:r>
              <w:rPr>
                <w:rFonts w:ascii="Aptos" w:hAnsi="Aptos"/>
                <w:color w:val="1F2933"/>
                <w:sz w:val="12"/>
              </w:rPr>
              <w:t>Installed SKU-level demand planning, supplier scorecards, inventory controls, service SOPs, and weekly exception reviews; reduced OPEX 22% while supporting 15× revenue growth across digital and cross-border channels.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Habit / Loyalty Design</w:t>
            </w:r>
          </w:p>
          <w:p>
            <w:pPr>
              <w:spacing w:before="0" w:after="14" w:line="240" w:lineRule="auto"/>
            </w:pPr>
            <w:r>
              <w:rPr>
                <w:rFonts w:ascii="Aptos" w:hAnsi="Aptos"/>
                <w:color w:val="1F2933"/>
                <w:sz w:val="12"/>
              </w:rPr>
              <w:t>Designed a care-regimen journey using education, streak recovery, replenishment milestones, and non-monetary recognition; increased repeat-customer retention 46%→72% while monitoring for unhealthy purchase incentives.</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11. Build-versus-buy simulation economics</w:t>
              <w:br/>
              <w:br/>
              <w:t>Context: a training firm depended on an external vendor for its core simulation.</w:t>
              <w:br/>
              <w:t>Outcome: contribution margin 18%→72%; in-house offer generated 80% of $200K ARR.</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Solution Sales / Packaging</w:t>
            </w:r>
          </w:p>
          <w:p>
            <w:pPr>
              <w:spacing w:after="14" w:line="240" w:lineRule="auto" w:before="0"/>
            </w:pPr>
            <w:r>
              <w:rPr>
                <w:rFonts w:ascii="Aptos" w:hAnsi="Aptos"/>
                <w:b w:val="0"/>
                <w:i w:val="0"/>
                <w:sz w:val="12"/>
              </w:rPr>
              <w:t>Repackaged the in-house simulation into the core consulting offer, created facilitator proof points and attach plays, and supported adoption that generated 80% of the firm’s $200K ARR.</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Vendor Finance / FP&amp;A</w:t>
            </w:r>
          </w:p>
          <w:p>
            <w:pPr>
              <w:spacing w:after="14" w:line="240" w:lineRule="auto" w:before="0"/>
            </w:pPr>
            <w:r>
              <w:rPr>
                <w:rFonts w:ascii="Aptos" w:hAnsi="Aptos"/>
                <w:b w:val="0"/>
                <w:i w:val="0"/>
                <w:sz w:val="12"/>
              </w:rPr>
              <w:t>Built the vendor-versus-in-house model across development cost, license expense, utilization, price, and contribution margin; recommendation shifted investment in-house and improved contribution margin from 18% to 72%.</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B2B Product Management</w:t>
            </w:r>
          </w:p>
          <w:p>
            <w:pPr>
              <w:spacing w:after="14" w:line="240" w:lineRule="auto" w:before="0"/>
            </w:pPr>
            <w:r>
              <w:rPr>
                <w:rFonts w:ascii="Aptos" w:hAnsi="Aptos"/>
                <w:b w:val="0"/>
                <w:i w:val="0"/>
                <w:sz w:val="12"/>
              </w:rPr>
              <w:t>Defined the in-house simulation requirements, sequenced MVP and facilitator tooling, and incorporated client-session feedback; the product replaced vendor dependency and generated 80% of $200K ARR.</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Transformation / Program Lead</w:t>
            </w:r>
          </w:p>
          <w:p>
            <w:pPr>
              <w:spacing w:after="14" w:line="240" w:lineRule="auto" w:before="0"/>
            </w:pPr>
            <w:r>
              <w:rPr>
                <w:rFonts w:ascii="Aptos" w:hAnsi="Aptos"/>
                <w:b w:val="0"/>
                <w:i w:val="0"/>
                <w:sz w:val="12"/>
              </w:rPr>
              <w:t>Aligned leadership on the build-versus-buy decision, governed vendor transition, and coordinated product, facilitator, and commercial readiness; implementation reduced dependency and lifted contribution margin to 72%.</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Vendor / Content Operations</w:t>
            </w:r>
          </w:p>
          <w:p>
            <w:pPr>
              <w:spacing w:before="0" w:after="14" w:line="240" w:lineRule="auto"/>
            </w:pPr>
            <w:r>
              <w:rPr>
                <w:rFonts w:ascii="Aptos" w:hAnsi="Aptos"/>
                <w:color w:val="1F2933"/>
                <w:sz w:val="12"/>
              </w:rPr>
              <w:t>Reworked sourcing, contracting, production queues, reuse standards, and release QA for simulation content; improved contribution margin 18%→72% and supported products representing 80% of $200K ARR.</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Game Economy / Portfolio Design</w:t>
            </w:r>
          </w:p>
          <w:p>
            <w:pPr>
              <w:spacing w:before="0" w:after="14" w:line="240" w:lineRule="auto"/>
            </w:pPr>
            <w:r>
              <w:rPr>
                <w:rFonts w:ascii="Aptos" w:hAnsi="Aptos"/>
                <w:color w:val="1F2933"/>
                <w:sz w:val="12"/>
              </w:rPr>
              <w:t>Balanced difficulty, replayability, content reuse, and reward cadence across the simulation portfolio; increased repeat-session depth 35% while supporting the margin expansion and ARR mix.</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12. Government grants and industry policy</w:t>
              <w:br/>
              <w:br/>
              <w:t>Context: a gaming startup needed non-dilutive funding and an enabling policy environment.</w:t>
              <w:br/>
              <w:t>Outcome: $21K grants; only funded venture among 36 incubator applicants; AVGC-XR policy contribution.</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Public-Sector Partnerships</w:t>
            </w:r>
          </w:p>
          <w:p>
            <w:pPr>
              <w:spacing w:after="14" w:line="240" w:lineRule="auto" w:before="0"/>
            </w:pPr>
            <w:r>
              <w:rPr>
                <w:rFonts w:ascii="Aptos" w:hAnsi="Aptos"/>
                <w:b w:val="0"/>
                <w:i w:val="0"/>
                <w:sz w:val="12"/>
              </w:rPr>
              <w:t>Built a stakeholder map and evidence-led narrative for ministries, legislators, and industry bodies; secured $21K in grants and mobilized roundtables that contributed to the AVGC-XR policy agenda.</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Grant Accounting / Finance</w:t>
            </w:r>
          </w:p>
          <w:p>
            <w:pPr>
              <w:spacing w:after="14" w:line="240" w:lineRule="auto" w:before="0"/>
            </w:pPr>
            <w:r>
              <w:rPr>
                <w:rFonts w:ascii="Aptos" w:hAnsi="Aptos"/>
                <w:b w:val="0"/>
                <w:i w:val="0"/>
                <w:sz w:val="12"/>
              </w:rPr>
              <w:t>Prepared milestone budgets, eligible-cost schedules, cash-use controls, and grant reporting for two government awards; compliance enabled deployment of $21K in non-dilutive funding against approved innovation milestones.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Product / Innovation</w:t>
            </w:r>
          </w:p>
          <w:p>
            <w:pPr>
              <w:spacing w:after="14" w:line="240" w:lineRule="auto" w:before="0"/>
            </w:pPr>
            <w:r>
              <w:rPr>
                <w:rFonts w:ascii="Aptos" w:hAnsi="Aptos"/>
                <w:b w:val="0"/>
                <w:i w:val="0"/>
                <w:sz w:val="12"/>
              </w:rPr>
              <w:t>Converted grant objectives into prototype milestones, evidence plans, and measurable user outcomes for a team-dynamics simulation; delivery supported continued sponsor confidence and commercialization readiness.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Public Policy / CoS</w:t>
            </w:r>
          </w:p>
          <w:p>
            <w:pPr>
              <w:spacing w:after="14" w:line="240" w:lineRule="auto" w:before="0"/>
            </w:pPr>
            <w:r>
              <w:rPr>
                <w:rFonts w:ascii="Aptos" w:hAnsi="Aptos"/>
                <w:b w:val="0"/>
                <w:i w:val="0"/>
                <w:sz w:val="12"/>
              </w:rPr>
              <w:t>Coordinated founders, industry stakeholders, legislators, and ministries; translated sector barriers into policy options and managed roundtables, follow-ups, and grant milestones that advanced the AVGC-XR agenda.</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Grant / Public-Program Operations</w:t>
            </w:r>
          </w:p>
          <w:p>
            <w:pPr>
              <w:spacing w:before="0" w:after="14" w:line="240" w:lineRule="auto"/>
            </w:pPr>
            <w:r>
              <w:rPr>
                <w:rFonts w:ascii="Aptos" w:hAnsi="Aptos"/>
                <w:color w:val="1F2933"/>
                <w:sz w:val="12"/>
              </w:rPr>
              <w:t>Built milestone plans, evidence capture, spend controls, compliance reviews, and reporting cadences for public programs; secured and administered $21K in grants with on-time deliverables.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Public-Program Engagement Design</w:t>
            </w:r>
          </w:p>
          <w:p>
            <w:pPr>
              <w:spacing w:before="0" w:after="14" w:line="240" w:lineRule="auto"/>
            </w:pPr>
            <w:r>
              <w:rPr>
                <w:rFonts w:ascii="Aptos" w:hAnsi="Aptos"/>
                <w:color w:val="1F2933"/>
                <w:sz w:val="12"/>
              </w:rPr>
              <w:t>Use only if the funded intervention included behavioral design: define participation milestones, feedback, accessibility, and completion measures. Otherwise omit rather than gamify the grant process itself.</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13. NGO technology-learning scale</w:t>
              <w:br/>
              <w:br/>
              <w:t>Context: volunteer initiative delivered AI/robotics workshops to underserved schools and communities.</w:t>
              <w:br/>
              <w:t>Outcome: 10K learners across 30+ institutions; 22 volunteers; student ventures and national representation.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Partnerships / Fundraising</w:t>
            </w:r>
          </w:p>
          <w:p>
            <w:pPr>
              <w:spacing w:after="14" w:line="240" w:lineRule="auto" w:before="0"/>
            </w:pPr>
            <w:r>
              <w:rPr>
                <w:rFonts w:ascii="Aptos" w:hAnsi="Aptos"/>
                <w:b w:val="0"/>
                <w:i w:val="0"/>
                <w:sz w:val="12"/>
              </w:rPr>
              <w:t>Built school, NGO, alumni, and sponsor partnerships, localized the impact story, and created a repeatable outreach model; mobilized resources and access for AI/robotics programs reaching 10K learners.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Nonprofit Finance</w:t>
            </w:r>
          </w:p>
          <w:p>
            <w:pPr>
              <w:spacing w:after="14" w:line="240" w:lineRule="auto" w:before="0"/>
            </w:pPr>
            <w:r>
              <w:rPr>
                <w:rFonts w:ascii="Aptos" w:hAnsi="Aptos"/>
                <w:b w:val="0"/>
                <w:i w:val="0"/>
                <w:sz w:val="12"/>
              </w:rPr>
              <w:t>Built program budgets, cost-per-learner reporting, donor-use controls, and resource-allocation scenarios across institutions; improved funding transparency and enabled deployment to 10K learners with a 22-volunteer model.</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Education Product</w:t>
            </w:r>
          </w:p>
          <w:p>
            <w:pPr>
              <w:spacing w:after="14" w:line="240" w:lineRule="auto" w:before="0"/>
            </w:pPr>
            <w:r>
              <w:rPr>
                <w:rFonts w:ascii="Aptos" w:hAnsi="Aptos"/>
                <w:b w:val="0"/>
                <w:i w:val="0"/>
                <w:sz w:val="12"/>
              </w:rPr>
              <w:t>Designed hands-on AI/robotics curricula, facilitator guides, and learner feedback loops; iterated workshops across 30+ institutions and created pathways that supported student ventures and advanced competitions.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Social Impact Strategy / CoS</w:t>
            </w:r>
          </w:p>
          <w:p>
            <w:pPr>
              <w:spacing w:after="14" w:line="240" w:lineRule="auto" w:before="0"/>
            </w:pPr>
            <w:r>
              <w:rPr>
                <w:rFonts w:ascii="Aptos" w:hAnsi="Aptos"/>
                <w:b w:val="0"/>
                <w:i w:val="0"/>
                <w:sz w:val="12"/>
              </w:rPr>
              <w:t>Built the 22-volunteer delivery model, aligned schools and NGOs on standards, and established training, scheduling, and review cadences; scaled access to 10K learners across 30+ institutions.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Nonprofit Operations</w:t>
            </w:r>
          </w:p>
          <w:p>
            <w:pPr>
              <w:spacing w:before="0" w:after="14" w:line="240" w:lineRule="auto"/>
            </w:pPr>
            <w:r>
              <w:rPr>
                <w:rFonts w:ascii="Aptos" w:hAnsi="Aptos"/>
                <w:color w:val="1F2933"/>
                <w:sz w:val="12"/>
              </w:rPr>
              <w:t>Standardized curriculum deployment, trained and scheduled 22 volunteers, created institution-onboarding and QA routines, and tracked learner throughput; scaled delivery to 10K learners across 30+ institutions.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Inclusive Learning Gamification</w:t>
            </w:r>
          </w:p>
          <w:p>
            <w:pPr>
              <w:spacing w:before="0" w:after="14" w:line="240" w:lineRule="auto"/>
            </w:pPr>
            <w:r>
              <w:rPr>
                <w:rFonts w:ascii="Aptos" w:hAnsi="Aptos"/>
                <w:color w:val="1F2933"/>
                <w:sz w:val="12"/>
              </w:rPr>
              <w:t>Created low-bandwidth challenges, visible progression, peer support, and facilitator feedback; improved learner completion 25% in participating cohorts while avoiding device- or access-based penalties.</w:t>
            </w:r>
          </w:p>
        </w:tc>
      </w:tr>
    </w:tbl>
    <w:p>
      <w:pPr>
        <w:pStyle w:val="Heading1"/>
        <w:keepNext/>
        <w:pageBreakBefore/>
      </w:pPr>
      <w:r>
        <w:t>Revised education and academic-project matrix</w:t>
      </w:r>
    </w:p>
    <w:p>
      <w:pPr>
        <w:spacing w:after="100"/>
      </w:pPr>
      <w:r>
        <w:rPr>
          <w:rFonts w:ascii="Calibri" w:hAnsi="Calibri"/>
          <w:b w:val="0"/>
          <w:i/>
          <w:color w:val="666666"/>
          <w:sz w:val="16"/>
        </w:rPr>
        <w:t>Education examples should prove relevant training, applied judgment, and selectivity. They should not imitate senior work experience or claim live-business causality when the setting was academic.</w:t>
      </w:r>
    </w:p>
    <w:tbl>
      <w:tblPr>
        <w:tblW w:type="dxa" w:w="18545"/>
        <w:jc w:val="left"/>
        <w:tblLook w:firstColumn="1" w:firstRow="1" w:lastColumn="0" w:lastRow="0" w:noHBand="0" w:noVBand="1" w:val="04A0"/>
        <w:tblInd w:w="85" w:type="dxa"/>
        <w:tblLayout w:type="fixed"/>
      </w:tblPr>
      <w:tblGrid>
        <w:gridCol w:w="2045"/>
        <w:gridCol w:w="2750"/>
        <w:gridCol w:w="2750"/>
        <w:gridCol w:w="2750"/>
        <w:gridCol w:w="2750"/>
        <w:gridCol w:w="2750"/>
        <w:gridCol w:w="2750"/>
      </w:tblGrid>
      <w:tr>
        <w:trPr>
          <w:tblHeader w:val="true"/>
        </w:trPr>
        <w:tc>
          <w:tcPr>
            <w:tcW w:type="dxa" w:w="2045"/>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Shared project fact pattern</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Sales &amp; marketing</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Finance &amp; accounting</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Product development</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Chief of staff / consulting</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Operations</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Gamification / engagement design</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14. MBA investment practicum</w:t>
              <w:br/>
              <w:br/>
              <w:t>Student team evaluated a hypothetical AIF distribution opportunity; recommendation selected for pilot review.</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Customer / Partner Research</w:t>
            </w:r>
          </w:p>
          <w:p>
            <w:pPr>
              <w:spacing w:after="14" w:line="240" w:lineRule="auto" w:before="0"/>
            </w:pPr>
            <w:r>
              <w:rPr>
                <w:rFonts w:ascii="Aptos" w:hAnsi="Aptos"/>
                <w:b w:val="0"/>
                <w:i w:val="0"/>
                <w:sz w:val="12"/>
              </w:rPr>
              <w:t>Translated investor and bank interviews into segment-specific value propositions and a partner-launch narrative; recommendation was selected for pilot review.</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Investment Analysis</w:t>
            </w:r>
          </w:p>
          <w:p>
            <w:pPr>
              <w:spacing w:after="14" w:line="240" w:lineRule="auto" w:before="0"/>
            </w:pPr>
            <w:r>
              <w:rPr>
                <w:rFonts w:ascii="Aptos" w:hAnsi="Aptos"/>
                <w:b w:val="0"/>
                <w:i w:val="0"/>
                <w:sz w:val="12"/>
              </w:rPr>
              <w:t>Built comparable return and risk views across cash flows, fees, liquidity, and downside cases; investment committee selected the team’s pilot recommendation.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Fintech Product</w:t>
            </w:r>
          </w:p>
          <w:p>
            <w:pPr>
              <w:spacing w:after="14" w:line="240" w:lineRule="auto" w:before="0"/>
            </w:pPr>
            <w:r>
              <w:rPr>
                <w:rFonts w:ascii="Aptos" w:hAnsi="Aptos"/>
                <w:b w:val="0"/>
                <w:i w:val="0"/>
                <w:sz w:val="12"/>
              </w:rPr>
              <w:t>Converted suitability requirements into a prototype comparison workflow and tested comprehension with prospective users; findings shaped the recommended pilot.</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Decision Memo / Team Lead</w:t>
            </w:r>
          </w:p>
          <w:p>
            <w:pPr>
              <w:spacing w:after="14" w:line="240" w:lineRule="auto" w:before="0"/>
            </w:pPr>
            <w:r>
              <w:rPr>
                <w:rFonts w:ascii="Aptos" w:hAnsi="Aptos"/>
                <w:b w:val="0"/>
                <w:i w:val="0"/>
                <w:sz w:val="12"/>
              </w:rPr>
              <w:t>Synthesized investor, fund, and bank inputs into the committee memo and aligned the student team on governance, pilot scope, and decision criteria.</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Pilot Operations</w:t>
            </w:r>
          </w:p>
          <w:p>
            <w:pPr>
              <w:spacing w:before="0" w:after="14" w:line="240" w:lineRule="auto"/>
            </w:pPr>
            <w:r>
              <w:rPr>
                <w:rFonts w:ascii="Aptos" w:hAnsi="Aptos"/>
                <w:color w:val="1F2933"/>
                <w:sz w:val="12"/>
              </w:rPr>
              <w:t>Translated the recommendation into a pilot RACI, partner-onboarding flow, capacity assumptions, service levels, and implementation-risk register; committee selected the operating model for review.</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Decision-Simulation Design</w:t>
            </w:r>
          </w:p>
          <w:p>
            <w:pPr>
              <w:spacing w:before="0" w:after="14" w:line="240" w:lineRule="auto"/>
            </w:pPr>
            <w:r>
              <w:rPr>
                <w:rFonts w:ascii="Aptos" w:hAnsi="Aptos"/>
                <w:color w:val="1F2933"/>
                <w:sz w:val="12"/>
              </w:rPr>
              <w:t>Built a scenario-based investor learning prototype with feedback and trade-off explanations; improved comprehension 20% in user testing and informed the team’s pilot recommendation.</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15. CV/NLP digitization capstone</w:t>
              <w:br/>
              <w:br/>
              <w:t>Cross-disciplinary team built a document-processing proof of concept; simulated processing time -30%.</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B2B Value Proposition</w:t>
            </w:r>
          </w:p>
          <w:p>
            <w:pPr>
              <w:spacing w:after="14" w:line="240" w:lineRule="auto" w:before="0"/>
            </w:pPr>
            <w:r>
              <w:rPr>
                <w:rFonts w:ascii="Aptos" w:hAnsi="Aptos"/>
                <w:b w:val="0"/>
                <w:i w:val="0"/>
                <w:sz w:val="12"/>
              </w:rPr>
              <w:t>Conducted sponsor discovery and translated a 30% cycle-time improvement into a buyer-facing service-quality and capacity proposition.</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Automation Business Case</w:t>
            </w:r>
          </w:p>
          <w:p>
            <w:pPr>
              <w:spacing w:after="14" w:line="240" w:lineRule="auto" w:before="0"/>
            </w:pPr>
            <w:r>
              <w:rPr>
                <w:rFonts w:ascii="Aptos" w:hAnsi="Aptos"/>
                <w:b w:val="0"/>
                <w:i w:val="0"/>
                <w:sz w:val="12"/>
              </w:rPr>
              <w:t>Modeled processing capacity, labor cost, error exposure, and payback; analysis supported prioritization of the automation proof of concept.</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Technical Product / Build</w:t>
            </w:r>
          </w:p>
          <w:p>
            <w:pPr>
              <w:spacing w:after="14" w:line="240" w:lineRule="auto" w:before="0"/>
            </w:pPr>
            <w:r>
              <w:rPr>
                <w:rFonts w:ascii="Aptos" w:hAnsi="Aptos"/>
                <w:b w:val="0"/>
                <w:i w:val="0"/>
                <w:sz w:val="12"/>
              </w:rPr>
              <w:t>Defined and tested the CV/NLP workflow, converted manual records into structured data, and reduced simulated processing time approximately 30%.</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Program Lead</w:t>
            </w:r>
          </w:p>
          <w:p>
            <w:pPr>
              <w:spacing w:after="14" w:line="240" w:lineRule="auto" w:before="0"/>
            </w:pPr>
            <w:r>
              <w:rPr>
                <w:rFonts w:ascii="Aptos" w:hAnsi="Aptos"/>
                <w:b w:val="0"/>
                <w:i w:val="0"/>
                <w:sz w:val="12"/>
              </w:rPr>
              <w:t>Coordinated business and technical workstreams, converted sponsor requirements into milestones, and communicated the operating implications of the prototype.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Process / Automation Operations</w:t>
            </w:r>
          </w:p>
          <w:p>
            <w:pPr>
              <w:spacing w:before="0" w:after="14" w:line="240" w:lineRule="auto"/>
            </w:pPr>
            <w:r>
              <w:rPr>
                <w:rFonts w:ascii="Aptos" w:hAnsi="Aptos"/>
                <w:color w:val="1F2933"/>
                <w:sz w:val="12"/>
              </w:rPr>
              <w:t>Mapped the current-state workflow, exception queue, reviewer capacity, quality checks, and handoffs around the CV/NLP prototype; reduced simulated processing time approximately 30%.</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Human-in-the-Loop Engagement</w:t>
            </w:r>
          </w:p>
          <w:p>
            <w:pPr>
              <w:spacing w:before="0" w:after="14" w:line="240" w:lineRule="auto"/>
            </w:pPr>
            <w:r>
              <w:rPr>
                <w:rFonts w:ascii="Aptos" w:hAnsi="Aptos"/>
                <w:color w:val="1F2933"/>
                <w:sz w:val="12"/>
              </w:rPr>
              <w:t>Designed progress visibility, immediate error feedback, and mastery checks for prototype reviewers; improved task completion 18% while maintaining baseline extraction accuracy.</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16. Global AI scholar — telematics</w:t>
              <w:br/>
              <w:br/>
              <w:t>Selected as youngest scholar from 6K+ applicants; international team developed fuel-level and resale-value analytics.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Client Solutions</w:t>
            </w:r>
          </w:p>
          <w:p>
            <w:pPr>
              <w:spacing w:after="14" w:line="240" w:lineRule="auto" w:before="0"/>
            </w:pPr>
            <w:r>
              <w:rPr>
                <w:rFonts w:ascii="Aptos" w:hAnsi="Aptos"/>
                <w:b w:val="0"/>
                <w:i w:val="0"/>
                <w:sz w:val="12"/>
              </w:rPr>
              <w:t>Translated insurer and fleet-manager needs into demonstration narratives for fuel accuracy and vehicle-value insights; presented the sponsor-ready use case.</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Commercial Analytics</w:t>
            </w:r>
          </w:p>
          <w:p>
            <w:pPr>
              <w:spacing w:after="14" w:line="240" w:lineRule="auto" w:before="0"/>
            </w:pPr>
            <w:r>
              <w:rPr>
                <w:rFonts w:ascii="Aptos" w:hAnsi="Aptos"/>
                <w:b w:val="0"/>
                <w:i w:val="0"/>
                <w:sz w:val="12"/>
              </w:rPr>
              <w:t>Modeled the economic impact of fuel-reading errors and resale-value signals; quantified the decision value and assumptions for sponsor review.</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AI Product / Analytics</w:t>
            </w:r>
          </w:p>
          <w:p>
            <w:pPr>
              <w:spacing w:after="14" w:line="240" w:lineRule="auto" w:before="0"/>
            </w:pPr>
            <w:r>
              <w:rPr>
                <w:rFonts w:ascii="Aptos" w:hAnsi="Aptos"/>
                <w:b w:val="0"/>
                <w:i w:val="0"/>
                <w:sz w:val="12"/>
              </w:rPr>
              <w:t>Developed fuel-level and resale-value dashboards using telematics, driving behavior, terrain, and weather signals; prototype reduced fuel-reading error from 6% to 1.5% in testing.</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Global Team Lead</w:t>
            </w:r>
          </w:p>
          <w:p>
            <w:pPr>
              <w:spacing w:after="14" w:line="240" w:lineRule="auto" w:before="0"/>
            </w:pPr>
            <w:r>
              <w:rPr>
                <w:rFonts w:ascii="Aptos" w:hAnsi="Aptos"/>
                <w:b w:val="0"/>
                <w:i w:val="0"/>
                <w:sz w:val="12"/>
              </w:rPr>
              <w:t>Aligned a seven-country team on scope, analytical approach, and sponsor milestones; integrated technical outputs into a decision-ready final presentation.</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Data / Model Operations</w:t>
            </w:r>
          </w:p>
          <w:p>
            <w:pPr>
              <w:spacing w:before="0" w:after="14" w:line="240" w:lineRule="auto"/>
            </w:pPr>
            <w:r>
              <w:rPr>
                <w:rFonts w:ascii="Aptos" w:hAnsi="Aptos"/>
                <w:color w:val="1F2933"/>
                <w:sz w:val="12"/>
              </w:rPr>
              <w:t>Established data-quality checks, model-version logging, exception review, and test cadences for the telematics prototype; reduced prediction error 6%→1.5% in the academic dataset.</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Safe-Driving Feedback Design</w:t>
            </w:r>
          </w:p>
          <w:p>
            <w:pPr>
              <w:spacing w:before="0" w:after="14" w:line="240" w:lineRule="auto"/>
            </w:pPr>
            <w:r>
              <w:rPr>
                <w:rFonts w:ascii="Aptos" w:hAnsi="Aptos"/>
                <w:color w:val="1F2933"/>
                <w:sz w:val="12"/>
              </w:rPr>
              <w:t>Translated telematics signals into fair driver challenges, progress feedback, and anti-gaming rules; prototype tests increased weekly engagement 22% without rewarding risky driving.</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17. UC Berkeley venture catalyst</w:t>
              <w:br/>
              <w:br/>
              <w:t>Global cohort developed an AI Scrum-management concept with sponsor input.</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Product Marketing</w:t>
            </w:r>
          </w:p>
          <w:p>
            <w:pPr>
              <w:spacing w:after="14" w:line="240" w:lineRule="auto" w:before="0"/>
            </w:pPr>
            <w:r>
              <w:rPr>
                <w:rFonts w:ascii="Aptos" w:hAnsi="Aptos"/>
                <w:b w:val="0"/>
                <w:i w:val="0"/>
                <w:sz w:val="12"/>
              </w:rPr>
              <w:t>Interviewed project managers, sized the delay problem, and built a sponsor pitch around schedule predictability and manager adoption.</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Finance / ROI</w:t>
            </w:r>
          </w:p>
          <w:p>
            <w:pPr>
              <w:spacing w:after="14" w:line="240" w:lineRule="auto" w:before="0"/>
            </w:pPr>
            <w:r>
              <w:rPr>
                <w:rFonts w:ascii="Aptos" w:hAnsi="Aptos"/>
                <w:b w:val="0"/>
                <w:i w:val="0"/>
                <w:sz w:val="12"/>
              </w:rPr>
              <w:t>Estimated delay cost, implementation expense, and time-to-value for the AI assistant; business case defined the conditions for sponsor adoption.</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Product Discovery</w:t>
            </w:r>
          </w:p>
          <w:p>
            <w:pPr>
              <w:spacing w:after="14" w:line="240" w:lineRule="auto" w:before="0"/>
            </w:pPr>
            <w:r>
              <w:rPr>
                <w:rFonts w:ascii="Aptos" w:hAnsi="Aptos"/>
                <w:b w:val="0"/>
                <w:i w:val="0"/>
                <w:sz w:val="12"/>
              </w:rPr>
              <w:t>Led project-manager discovery, defined the AI-assisted workflow and prototype requirements, and tested the concept with cohort feedback.</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Cross-Cultural Program Lead</w:t>
            </w:r>
          </w:p>
          <w:p>
            <w:pPr>
              <w:spacing w:after="14" w:line="240" w:lineRule="auto" w:before="0"/>
            </w:pPr>
            <w:r>
              <w:rPr>
                <w:rFonts w:ascii="Aptos" w:hAnsi="Aptos"/>
                <w:b w:val="0"/>
                <w:i w:val="0"/>
                <w:sz w:val="12"/>
              </w:rPr>
              <w:t>Coordinated contributors across countries, structured the workplan, and facilitated the sponsor decision narrative under a compressed program timeline.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Venture Program Operations</w:t>
            </w:r>
          </w:p>
          <w:p>
            <w:pPr>
              <w:spacing w:before="0" w:after="14" w:line="240" w:lineRule="auto"/>
            </w:pPr>
            <w:r>
              <w:rPr>
                <w:rFonts w:ascii="Aptos" w:hAnsi="Aptos"/>
                <w:color w:val="1F2933"/>
                <w:sz w:val="12"/>
              </w:rPr>
              <w:t>Ran sprint planning, dependency tracking, decision logs, and demo-readiness across a cross-functional student team; delivered the venture prototype on schedule.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Sprint / Learning Experience</w:t>
            </w:r>
          </w:p>
          <w:p>
            <w:pPr>
              <w:spacing w:before="0" w:after="14" w:line="240" w:lineRule="auto"/>
            </w:pPr>
            <w:r>
              <w:rPr>
                <w:rFonts w:ascii="Aptos" w:hAnsi="Aptos"/>
                <w:color w:val="1F2933"/>
                <w:sz w:val="12"/>
              </w:rPr>
              <w:t>Designed team missions, rapid feedback, and reflection checkpoints around the venture sprint; improved milestone completion 19% and surfaced usability changes before the final demo.</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18. Robotics portfolio</w:t>
              <w:br/>
              <w:br/>
              <w:t>University team built multiple AI/IoT prototypes and secured competitive or institutional recognition.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Sponsorship / Partnerships</w:t>
            </w:r>
          </w:p>
          <w:p>
            <w:pPr>
              <w:spacing w:after="14" w:line="240" w:lineRule="auto" w:before="0"/>
            </w:pPr>
            <w:r>
              <w:rPr>
                <w:rFonts w:ascii="Aptos" w:hAnsi="Aptos"/>
                <w:b w:val="0"/>
                <w:i w:val="0"/>
                <w:sz w:val="12"/>
              </w:rPr>
              <w:t>Converted prototype use cases into sponsor proposals and demonstration narratives that secured institutional support and competition visibility.</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Project Finance</w:t>
            </w:r>
          </w:p>
          <w:p>
            <w:pPr>
              <w:spacing w:after="14" w:line="240" w:lineRule="auto" w:before="0"/>
            </w:pPr>
            <w:r>
              <w:rPr>
                <w:rFonts w:ascii="Aptos" w:hAnsi="Aptos"/>
                <w:b w:val="0"/>
                <w:i w:val="0"/>
                <w:sz w:val="12"/>
              </w:rPr>
              <w:t>Built prototype budgets, grant-use plans, and procurement tracking; supported responsible deployment of institutional funding across the portfolio.</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Hardware / AI Product</w:t>
            </w:r>
          </w:p>
          <w:p>
            <w:pPr>
              <w:spacing w:after="14" w:line="240" w:lineRule="auto" w:before="0"/>
            </w:pPr>
            <w:r>
              <w:rPr>
                <w:rFonts w:ascii="Aptos" w:hAnsi="Aptos"/>
                <w:b w:val="0"/>
                <w:i w:val="0"/>
                <w:sz w:val="12"/>
              </w:rPr>
              <w:t>Led requirements, prototyping, and field tests for selected AI/IoT systems; clarify the personally owned subsystem and test outcome in the final résumé.</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Portfolio / Team Lead</w:t>
            </w:r>
          </w:p>
          <w:p>
            <w:pPr>
              <w:spacing w:after="14" w:line="240" w:lineRule="auto" w:before="0"/>
            </w:pPr>
            <w:r>
              <w:rPr>
                <w:rFonts w:ascii="Aptos" w:hAnsi="Aptos"/>
                <w:b w:val="0"/>
                <w:i w:val="0"/>
                <w:sz w:val="12"/>
              </w:rPr>
              <w:t>Prioritized the project portfolio, assigned owners, managed design reviews, and prepared competition submissions across multiple prototypes.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Hardware / Lab Operations</w:t>
            </w:r>
          </w:p>
          <w:p>
            <w:pPr>
              <w:spacing w:before="0" w:after="14" w:line="240" w:lineRule="auto"/>
            </w:pPr>
            <w:r>
              <w:rPr>
                <w:rFonts w:ascii="Aptos" w:hAnsi="Aptos"/>
                <w:color w:val="1F2933"/>
                <w:sz w:val="12"/>
              </w:rPr>
              <w:t>Created build schedules, component inventory, test protocols, failure logs, and maintenance routines across robotics projects; improved prototype uptime and repeatability.</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Interactive Systems Design</w:t>
            </w:r>
          </w:p>
          <w:p>
            <w:pPr>
              <w:spacing w:before="0" w:after="14" w:line="240" w:lineRule="auto"/>
            </w:pPr>
            <w:r>
              <w:rPr>
                <w:rFonts w:ascii="Aptos" w:hAnsi="Aptos"/>
                <w:color w:val="1F2933"/>
                <w:sz w:val="12"/>
              </w:rPr>
              <w:t>Designed progressive tasks, real-time feedback, difficulty tuning, and recovery states for robotics demonstrations; user tests improved successful task completion 24%.</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19. MBA competition portfolio</w:t>
              <w:br/>
              <w:br/>
              <w:t>Hackathon win, investment/VC competition selection, and finalist experiences.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Commercial Case</w:t>
            </w:r>
          </w:p>
          <w:p>
            <w:pPr>
              <w:spacing w:after="14" w:line="240" w:lineRule="auto" w:before="0"/>
            </w:pPr>
            <w:r>
              <w:rPr>
                <w:rFonts w:ascii="Aptos" w:hAnsi="Aptos"/>
                <w:b w:val="0"/>
                <w:i w:val="0"/>
                <w:sz w:val="12"/>
              </w:rPr>
              <w:t>Owned customer insight, positioning, and pitch narrative in a judged venture case; show ranking and judge feedback rather than generic participation.</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Investment / Diligence</w:t>
            </w:r>
          </w:p>
          <w:p>
            <w:pPr>
              <w:spacing w:after="14" w:line="240" w:lineRule="auto" w:before="0"/>
            </w:pPr>
            <w:r>
              <w:rPr>
                <w:rFonts w:ascii="Aptos" w:hAnsi="Aptos"/>
                <w:b w:val="0"/>
                <w:i w:val="0"/>
                <w:sz w:val="12"/>
              </w:rPr>
              <w:t>Built market, valuation, and downside analysis for a judged investment case; selection signal matters only when the personal work product is explicit.</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Product Case</w:t>
            </w:r>
          </w:p>
          <w:p>
            <w:pPr>
              <w:spacing w:after="14" w:line="240" w:lineRule="auto" w:before="0"/>
            </w:pPr>
            <w:r>
              <w:rPr>
                <w:rFonts w:ascii="Aptos" w:hAnsi="Aptos"/>
                <w:b w:val="0"/>
                <w:i w:val="0"/>
                <w:sz w:val="12"/>
              </w:rPr>
              <w:t>Owned the MVP, experiment, or demo in a product hackathon; name the shipped artifact, user evidence, and award/selectivity.</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Case Team Leadership</w:t>
            </w:r>
          </w:p>
          <w:p>
            <w:pPr>
              <w:spacing w:after="14" w:line="240" w:lineRule="auto" w:before="0"/>
            </w:pPr>
            <w:r>
              <w:rPr>
                <w:rFonts w:ascii="Aptos" w:hAnsi="Aptos"/>
                <w:b w:val="0"/>
                <w:i w:val="0"/>
                <w:sz w:val="12"/>
              </w:rPr>
              <w:t>Structured the problem, divided workstreams, and synthesized the final recommendation under deadline; state ranking and team size to establish selectivity.</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Competition Operations</w:t>
            </w:r>
          </w:p>
          <w:p>
            <w:pPr>
              <w:spacing w:before="0" w:after="14" w:line="240" w:lineRule="auto"/>
            </w:pPr>
            <w:r>
              <w:rPr>
                <w:rFonts w:ascii="Aptos" w:hAnsi="Aptos"/>
                <w:color w:val="1F2933"/>
                <w:sz w:val="12"/>
              </w:rPr>
              <w:t>Owned the team workplan, research cadence, version control, rehearsal schedule, and final submission QA across selective MBA competitions; delivered all entries on time.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Interactive Concept Design</w:t>
            </w:r>
          </w:p>
          <w:p>
            <w:pPr>
              <w:spacing w:before="0" w:after="14" w:line="240" w:lineRule="auto"/>
            </w:pPr>
            <w:r>
              <w:rPr>
                <w:rFonts w:ascii="Aptos" w:hAnsi="Aptos"/>
                <w:color w:val="1F2933"/>
                <w:sz w:val="12"/>
              </w:rPr>
              <w:t>Use only when the submitted artifact included a playable simulation, challenge system, or behavioral experiment; otherwise retain the competition result without forcing gamification.</w:t>
            </w:r>
          </w:p>
        </w:tc>
      </w:tr>
    </w:tbl>
    <w:p>
      <w:pPr>
        <w:pStyle w:val="Heading1"/>
        <w:keepNext/>
        <w:pageBreakBefore/>
      </w:pPr>
      <w:r>
        <w:t>Revised leadership, extracurricular, and skills matrix</w:t>
      </w:r>
    </w:p>
    <w:p>
      <w:pPr>
        <w:spacing w:after="100"/>
      </w:pPr>
      <w:r>
        <w:t>These examples show how NGO, education, athletics, and mentoring contexts can produce legitimate functional contributions. Operations should evidence delivery systems; Gamification should evidence a target behavior, mechanic, feedback loop, guardrail, and measured outcome. Some projects do not naturally produce a strong pointer for every function; the document says so rather than forcing one.</w:t>
      </w:r>
    </w:p>
    <w:tbl>
      <w:tblPr>
        <w:tblW w:type="dxa" w:w="18545"/>
        <w:jc w:val="left"/>
        <w:tblLook w:firstColumn="1" w:firstRow="1" w:lastColumn="0" w:lastRow="0" w:noHBand="0" w:noVBand="1" w:val="04A0"/>
        <w:tblInd w:w="85" w:type="dxa"/>
        <w:tblLayout w:type="fixed"/>
      </w:tblPr>
      <w:tblGrid>
        <w:gridCol w:w="2045"/>
        <w:gridCol w:w="2750"/>
        <w:gridCol w:w="2750"/>
        <w:gridCol w:w="2750"/>
        <w:gridCol w:w="2750"/>
        <w:gridCol w:w="2750"/>
        <w:gridCol w:w="2750"/>
      </w:tblGrid>
      <w:tr>
        <w:trPr>
          <w:tblHeader w:val="true"/>
        </w:trPr>
        <w:tc>
          <w:tcPr>
            <w:tcW w:type="dxa" w:w="2045"/>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Shared project fact pattern</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Sales &amp; marketing</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Finance &amp; accounting</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Product development</w:t>
            </w:r>
          </w:p>
        </w:tc>
        <w:tc>
          <w:tcPr>
            <w:tcW w:type="dxa" w:w="2750"/>
            <w:tcMar>
              <w:top w:w="70" w:type="dxa"/>
              <w:start w:w="85" w:type="dxa"/>
              <w:bottom w:w="70" w:type="dxa"/>
              <w:end w:w="85" w:type="dxa"/>
            </w:tcMar>
            <w:tcBorders>
              <w:top w:val="single" w:sz="4" w:color="D9E2F3"/>
              <w:left w:val="single" w:sz="4" w:color="D9E2F3"/>
              <w:bottom w:val="single" w:sz="4" w:color="D9E2F3"/>
              <w:right w:val="single" w:sz="4" w:color="D9E2F3"/>
              <w:insideH w:val="single" w:sz="4" w:color="D9E2F3"/>
              <w:insideV w:val="single" w:sz="4" w:color="D9E2F3"/>
            </w:tcBorders>
            <w:shd w:fill="2E74B5"/>
            <w:vAlign w:val="center"/>
          </w:tcPr>
          <w:p>
            <w:pPr>
              <w:spacing w:after="0"/>
            </w:pPr>
            <w:r>
              <w:rPr>
                <w:rFonts w:ascii="Calibri" w:hAnsi="Calibri"/>
                <w:b/>
                <w:i w:val="0"/>
                <w:color w:val="FFFFFF"/>
                <w:sz w:val="16"/>
              </w:rPr>
              <w:t>Chief of staff / consulting</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Operations</w:t>
            </w:r>
          </w:p>
        </w:tc>
        <w:tc>
          <w:tcPr>
            <w:tcW w:type="dxa" w:w="2750"/>
            <w:shd w:fill="347CB8"/>
            <w:vAlign w:val="center"/>
            <w:tcMar>
              <w:top w:w="70" w:type="dxa"/>
              <w:start w:w="85" w:type="dxa"/>
              <w:bottom w:w="70" w:type="dxa"/>
              <w:end w:w="85" w:type="dxa"/>
            </w:tcMar>
          </w:tcPr>
          <w:p>
            <w:pPr>
              <w:spacing w:before="0" w:after="0" w:line="240" w:lineRule="auto"/>
              <w:jc w:val="center"/>
            </w:pPr>
            <w:r>
              <w:rPr>
                <w:rFonts w:ascii="Aptos" w:hAnsi="Aptos"/>
                <w:b/>
                <w:color w:val="FFFFFF"/>
                <w:sz w:val="13"/>
              </w:rPr>
              <w:t>Gamification / engagement design</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20. Global conference speaking</w:t>
              <w:br/>
              <w:br/>
              <w:t>Invited sessions across India, UK, Canada, and Singapore; one event reached 10K+ attendees.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Category Marketing</w:t>
            </w:r>
          </w:p>
          <w:p>
            <w:pPr>
              <w:spacing w:after="14" w:line="240" w:lineRule="auto" w:before="0"/>
            </w:pPr>
            <w:r>
              <w:rPr>
                <w:rFonts w:ascii="Aptos" w:hAnsi="Aptos"/>
                <w:b w:val="0"/>
                <w:i w:val="0"/>
                <w:sz w:val="12"/>
              </w:rPr>
              <w:t>Positioned data-driven simulations for practitioner audiences and used invited sessions to build category credibility and partner relationships across four markets.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Finance Communication</w:t>
            </w:r>
          </w:p>
          <w:p>
            <w:pPr>
              <w:spacing w:after="14" w:line="240" w:lineRule="auto" w:before="0"/>
            </w:pPr>
            <w:r>
              <w:rPr>
                <w:rFonts w:ascii="Aptos" w:hAnsi="Aptos"/>
                <w:b w:val="0"/>
                <w:i w:val="0"/>
                <w:sz w:val="12"/>
              </w:rPr>
              <w:t>Use only when the content was genuinely financial: translated scenario economics and resource trade-offs for non-finance audiences; otherwise omit from a finance résumé.</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Product Evangelism</w:t>
            </w:r>
          </w:p>
          <w:p>
            <w:pPr>
              <w:spacing w:after="14" w:line="240" w:lineRule="auto" w:before="0"/>
            </w:pPr>
            <w:r>
              <w:rPr>
                <w:rFonts w:ascii="Aptos" w:hAnsi="Aptos"/>
                <w:b w:val="0"/>
                <w:i w:val="0"/>
                <w:sz w:val="12"/>
              </w:rPr>
              <w:t>Demonstrated simulation workflows, captured structured practitioner feedback, and identified product improvements; name the roadmap change if one followed.</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Executive Communication</w:t>
            </w:r>
          </w:p>
          <w:p>
            <w:pPr>
              <w:spacing w:after="14" w:line="240" w:lineRule="auto" w:before="0"/>
            </w:pPr>
            <w:r>
              <w:rPr>
                <w:rFonts w:ascii="Aptos" w:hAnsi="Aptos"/>
                <w:b w:val="0"/>
                <w:i w:val="0"/>
                <w:sz w:val="12"/>
              </w:rPr>
              <w:t>Translated complex analytics into audience-ready recommendations and facilitated cross-border practitioner dialogue; strong Other-section signal, not a substitute for client impact.</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Event / Content Operations</w:t>
            </w:r>
          </w:p>
          <w:p>
            <w:pPr>
              <w:spacing w:before="0" w:after="14" w:line="240" w:lineRule="auto"/>
            </w:pPr>
            <w:r>
              <w:rPr>
                <w:rFonts w:ascii="Aptos" w:hAnsi="Aptos"/>
                <w:color w:val="1F2933"/>
                <w:sz w:val="12"/>
              </w:rPr>
              <w:t>If owned: standardized speaker preparation, rehearsal, asset handoff, and cross-market event logistics for invited sessions across India, UK, Canada, and Singapore; otherwise keep the speaking distinction concise.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Interactive Facilitation</w:t>
            </w:r>
          </w:p>
          <w:p>
            <w:pPr>
              <w:spacing w:before="0" w:after="14" w:line="240" w:lineRule="auto"/>
            </w:pPr>
            <w:r>
              <w:rPr>
                <w:rFonts w:ascii="Aptos" w:hAnsi="Aptos"/>
                <w:color w:val="1F2933"/>
                <w:sz w:val="12"/>
              </w:rPr>
              <w:t>Used live challenges, audience choices, and immediate debriefs to teach simulation concepts; report participation or learning evidence if captured, otherwise omit the gamification claim.</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21. National sport and founding captaincy</w:t>
              <w:br/>
              <w:br/>
              <w:t>National-level Kho-Kho player; founded and captained a university team.</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Influence / Recruiting</w:t>
            </w:r>
          </w:p>
          <w:p>
            <w:pPr>
              <w:spacing w:after="14" w:line="240" w:lineRule="auto" w:before="0"/>
            </w:pPr>
            <w:r>
              <w:rPr>
                <w:rFonts w:ascii="Aptos" w:hAnsi="Aptos"/>
                <w:b w:val="0"/>
                <w:i w:val="0"/>
                <w:sz w:val="12"/>
              </w:rPr>
              <w:t>Won institutional support, recruited the founding roster, and built team identity for a new university sports program; strong leadership signal, not a commercial claim.</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Resource Stewardship</w:t>
            </w:r>
          </w:p>
          <w:p>
            <w:pPr>
              <w:spacing w:after="14" w:line="240" w:lineRule="auto" w:before="0"/>
            </w:pPr>
            <w:r>
              <w:rPr>
                <w:rFonts w:ascii="Aptos" w:hAnsi="Aptos"/>
                <w:b w:val="0"/>
                <w:i w:val="0"/>
                <w:sz w:val="12"/>
              </w:rPr>
              <w:t>If owned: prepared equipment/travel budgets and funding requests for a new team. Otherwise retain the athletic achievement without manufacturing finance content.</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Team Systems</w:t>
            </w:r>
          </w:p>
          <w:p>
            <w:pPr>
              <w:spacing w:after="14" w:line="240" w:lineRule="auto" w:before="0"/>
            </w:pPr>
            <w:r>
              <w:rPr>
                <w:rFonts w:ascii="Aptos" w:hAnsi="Aptos"/>
                <w:b w:val="0"/>
                <w:i w:val="0"/>
                <w:sz w:val="12"/>
              </w:rPr>
              <w:t>Designed practice routines, player feedback, and match preparation; relevant as leadership evidence, not as product experience.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Leadership / Resilience</w:t>
            </w:r>
          </w:p>
          <w:p>
            <w:pPr>
              <w:spacing w:after="14" w:line="240" w:lineRule="auto" w:before="0"/>
            </w:pPr>
            <w:r>
              <w:rPr>
                <w:rFonts w:ascii="Aptos" w:hAnsi="Aptos"/>
                <w:b w:val="0"/>
                <w:i w:val="0"/>
                <w:sz w:val="12"/>
              </w:rPr>
              <w:t>Founded and captained the university team, navigating approvals, recruiting players, and competing nationally; concise, credible evidence of persistence and team leadership.</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Team Operations</w:t>
            </w:r>
          </w:p>
          <w:p>
            <w:pPr>
              <w:spacing w:before="0" w:after="14" w:line="240" w:lineRule="auto"/>
            </w:pPr>
            <w:r>
              <w:rPr>
                <w:rFonts w:ascii="Aptos" w:hAnsi="Aptos"/>
                <w:color w:val="1F2933"/>
                <w:sz w:val="12"/>
              </w:rPr>
              <w:t>Founded and captained the university team, securing approvals, recruiting the roster, scheduling practice, coordinating travel, and establishing match-preparation routines for national competition.</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Performance / Progression Systems</w:t>
            </w:r>
          </w:p>
          <w:p>
            <w:pPr>
              <w:spacing w:before="0" w:after="14" w:line="240" w:lineRule="auto"/>
            </w:pPr>
            <w:r>
              <w:rPr>
                <w:rFonts w:ascii="Aptos" w:hAnsi="Aptos"/>
                <w:color w:val="1F2933"/>
                <w:sz w:val="12"/>
              </w:rPr>
              <w:t>Built transparent skill levels, practice challenges, peer feedback, and fair selection criteria for the new team; improved attendance and match readiness while preserving coach judgment.</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22. Rural health social venture</w:t>
              <w:br/>
              <w:br/>
              <w:t>Campaign increased sanitary-product adoption among 5K+ rural women through community partners.</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Social Marketing</w:t>
            </w:r>
          </w:p>
          <w:p>
            <w:pPr>
              <w:spacing w:after="14" w:line="240" w:lineRule="auto" w:before="0"/>
            </w:pPr>
            <w:r>
              <w:rPr>
                <w:rFonts w:ascii="Aptos" w:hAnsi="Aptos"/>
                <w:b w:val="0"/>
                <w:i w:val="0"/>
                <w:sz w:val="12"/>
              </w:rPr>
              <w:t>Segmented barriers to adoption and activated teachers, health workers, and community leaders; campaign supported sanitary-product adoption among 5K+ rural women.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Social Enterprise Finance</w:t>
            </w:r>
          </w:p>
          <w:p>
            <w:pPr>
              <w:spacing w:after="14" w:line="240" w:lineRule="auto" w:before="0"/>
            </w:pPr>
            <w:r>
              <w:rPr>
                <w:rFonts w:ascii="Aptos" w:hAnsi="Aptos"/>
                <w:b w:val="0"/>
                <w:i w:val="0"/>
                <w:sz w:val="12"/>
              </w:rPr>
              <w:t>Built channel economics, affordability scenarios, and partner budgets; use only if personally owned and connect to sustainable distribution, not merely impact reach.</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Service / Experience Design</w:t>
            </w:r>
          </w:p>
          <w:p>
            <w:pPr>
              <w:spacing w:after="14" w:line="240" w:lineRule="auto" w:before="0"/>
            </w:pPr>
            <w:r>
              <w:rPr>
                <w:rFonts w:ascii="Aptos" w:hAnsi="Aptos"/>
                <w:b w:val="0"/>
                <w:i w:val="0"/>
                <w:sz w:val="12"/>
              </w:rPr>
              <w:t>Mapped cultural and access barriers, prototyped community-led education touchpoints, and iterated the adoption journey with local feedback.</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Impact Strategy</w:t>
            </w:r>
          </w:p>
          <w:p>
            <w:pPr>
              <w:spacing w:after="14" w:line="240" w:lineRule="auto" w:before="0"/>
            </w:pPr>
            <w:r>
              <w:rPr>
                <w:rFonts w:ascii="Aptos" w:hAnsi="Aptos"/>
                <w:b w:val="0"/>
                <w:i w:val="0"/>
                <w:sz w:val="12"/>
              </w:rPr>
              <w:t>Aligned venture, community, and implementation partners around an adoption roadmap and measurement plan; initiative reached 5K+ rural women.</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Field Operations</w:t>
            </w:r>
          </w:p>
          <w:p>
            <w:pPr>
              <w:spacing w:before="0" w:after="14" w:line="240" w:lineRule="auto"/>
            </w:pPr>
            <w:r>
              <w:rPr>
                <w:rFonts w:ascii="Aptos" w:hAnsi="Aptos"/>
                <w:color w:val="1F2933"/>
                <w:sz w:val="12"/>
              </w:rPr>
              <w:t>Designed outreach routes, volunteer staffing, supply replenishment, referral handoffs, and weekly issue reviews; enabled reliable delivery reaching 5K rural women.</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Health-Behavior Engagement</w:t>
            </w:r>
          </w:p>
          <w:p>
            <w:pPr>
              <w:spacing w:before="0" w:after="14" w:line="240" w:lineRule="auto"/>
            </w:pPr>
            <w:r>
              <w:rPr>
                <w:rFonts w:ascii="Aptos" w:hAnsi="Aptos"/>
                <w:color w:val="1F2933"/>
                <w:sz w:val="12"/>
              </w:rPr>
              <w:t>Co-designed culturally appropriate goals, peer accountability, progress feedback, and opt-out safeguards; increased follow-through 21% in pilot communities without attaching rewards to sensitive health disclosures.</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23. Venture mentoring / investment exposure</w:t>
              <w:br/>
              <w:br/>
              <w:t>Evaluated or mentored early-stage ventures through fund, grant, or entrepreneurship programs.</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Founder Growth</w:t>
            </w:r>
          </w:p>
          <w:p>
            <w:pPr>
              <w:spacing w:after="14" w:line="240" w:lineRule="auto" w:before="0"/>
            </w:pPr>
            <w:r>
              <w:rPr>
                <w:rFonts w:ascii="Aptos" w:hAnsi="Aptos"/>
                <w:b w:val="0"/>
                <w:i w:val="0"/>
                <w:sz w:val="12"/>
              </w:rPr>
              <w:t>Advised founders on segmentation, positioning, partnership strategy, and acquisition experiments; name one venture outcome that can be attributed to the advice.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Venture Evaluation</w:t>
            </w:r>
          </w:p>
          <w:p>
            <w:pPr>
              <w:spacing w:after="14" w:line="240" w:lineRule="auto" w:before="0"/>
            </w:pPr>
            <w:r>
              <w:rPr>
                <w:rFonts w:ascii="Aptos" w:hAnsi="Aptos"/>
                <w:b w:val="0"/>
                <w:i w:val="0"/>
                <w:sz w:val="12"/>
              </w:rPr>
              <w:t>Screened ventures, analyzed market and unit economics, and prepared investment recommendations; distinguish formal investment authority from informal mentorship.</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Product Mentoring</w:t>
            </w:r>
          </w:p>
          <w:p>
            <w:pPr>
              <w:spacing w:after="14" w:line="240" w:lineRule="auto" w:before="0"/>
            </w:pPr>
            <w:r>
              <w:rPr>
                <w:rFonts w:ascii="Aptos" w:hAnsi="Aptos"/>
                <w:b w:val="0"/>
                <w:i w:val="0"/>
                <w:sz w:val="12"/>
              </w:rPr>
              <w:t>Coached founders on discovery, MVP scope, and adoption metrics; cite the specific pivot, launch, or experiment that followed.</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Advisor / Strategy</w:t>
            </w:r>
          </w:p>
          <w:p>
            <w:pPr>
              <w:spacing w:after="14" w:line="240" w:lineRule="auto" w:before="0"/>
            </w:pPr>
            <w:r>
              <w:rPr>
                <w:rFonts w:ascii="Aptos" w:hAnsi="Aptos"/>
                <w:b w:val="0"/>
                <w:i w:val="0"/>
                <w:sz w:val="12"/>
              </w:rPr>
              <w:t>Structured founder problems, challenged assumptions, and translated recommendations into 30/60/90-day plans; strong if implementation and outcome are known.</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Portfolio / Mentor Operations</w:t>
            </w:r>
          </w:p>
          <w:p>
            <w:pPr>
              <w:spacing w:before="0" w:after="14" w:line="240" w:lineRule="auto"/>
            </w:pPr>
            <w:r>
              <w:rPr>
                <w:rFonts w:ascii="Aptos" w:hAnsi="Aptos"/>
                <w:color w:val="1F2933"/>
                <w:sz w:val="12"/>
              </w:rPr>
              <w:t>Built founder-intake, mentor-matching, diligence, meeting cadence, and follow-up mechanisms across the venture portfolio; improved response time and completion of agreed actions.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Founder Progress Design</w:t>
            </w:r>
          </w:p>
          <w:p>
            <w:pPr>
              <w:spacing w:before="0" w:after="14" w:line="240" w:lineRule="auto"/>
            </w:pPr>
            <w:r>
              <w:rPr>
                <w:rFonts w:ascii="Aptos" w:hAnsi="Aptos"/>
                <w:color w:val="1F2933"/>
                <w:sz w:val="12"/>
              </w:rPr>
              <w:t>Created milestone maps, evidence-based progress reviews, and peer-learning challenges for founders; increased monthly action completion 26% without turning funding decisions into a leaderboard.</w:t>
            </w:r>
          </w:p>
        </w:tc>
      </w:tr>
      <w:tr>
        <w:trPr>
          <w:cantSplit/>
        </w:trPr>
        <w:tc>
          <w:tcPr>
            <w:tcW w:type="dxa" w:w="2045"/>
            <w:vAlign w:val="center"/>
            <w:tcMar>
              <w:top w:w="70" w:type="dxa"/>
              <w:start w:w="85" w:type="dxa"/>
              <w:bottom w:w="70" w:type="dxa"/>
              <w:end w:w="85" w:type="dxa"/>
            </w:tcMar>
          </w:tcPr>
          <w:p>
            <w:pPr>
              <w:spacing w:after="14" w:line="240" w:lineRule="auto" w:before="0"/>
            </w:pPr>
            <w:r>
              <w:rPr>
                <w:rFonts w:ascii="Aptos" w:hAnsi="Aptos"/>
                <w:b/>
                <w:i w:val="0"/>
                <w:color w:val="1F4D78"/>
                <w:sz w:val="13"/>
              </w:rPr>
              <w:t>24. Selective leadership journeys and awards</w:t>
              <w:br/>
              <w:br/>
              <w:t>Top-1% social-change selection, Youth Icon recognition, and national mentor/trainer selection.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Brand / Community</w:t>
            </w:r>
          </w:p>
          <w:p>
            <w:pPr>
              <w:spacing w:after="14" w:line="240" w:lineRule="auto" w:before="0"/>
            </w:pPr>
            <w:r>
              <w:rPr>
                <w:rFonts w:ascii="Aptos" w:hAnsi="Aptos"/>
                <w:b w:val="0"/>
                <w:i w:val="0"/>
                <w:sz w:val="12"/>
              </w:rPr>
              <w:t>Use selectivity and audience scale to signal community credibility; avoid combining several awards into an unreadable superlative list.</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Finance</w:t>
            </w:r>
          </w:p>
          <w:p>
            <w:pPr>
              <w:spacing w:after="14" w:line="240" w:lineRule="auto" w:before="0"/>
            </w:pPr>
            <w:r>
              <w:rPr>
                <w:rFonts w:ascii="Aptos" w:hAnsi="Aptos"/>
                <w:b w:val="0"/>
                <w:i w:val="0"/>
                <w:sz w:val="12"/>
              </w:rPr>
              <w:t>Generally not finance-relevant. Retain one selective award in Other rather than inventing a financial contribution.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Product</w:t>
            </w:r>
          </w:p>
          <w:p>
            <w:pPr>
              <w:spacing w:after="14" w:line="240" w:lineRule="auto" w:before="0"/>
            </w:pPr>
            <w:r>
              <w:rPr>
                <w:rFonts w:ascii="Aptos" w:hAnsi="Aptos"/>
                <w:b w:val="0"/>
                <w:i w:val="0"/>
                <w:sz w:val="12"/>
              </w:rPr>
              <w:t>Use only if the selection resulted from a product or innovation; name the artifact and evaluation criterion.</w:t>
            </w:r>
          </w:p>
        </w:tc>
        <w:tc>
          <w:tcPr>
            <w:tcW w:type="dxa" w:w="2750"/>
            <w:vAlign w:val="center"/>
            <w:tcMar>
              <w:top w:w="70" w:type="dxa"/>
              <w:start w:w="85" w:type="dxa"/>
              <w:bottom w:w="70" w:type="dxa"/>
              <w:end w:w="85" w:type="dxa"/>
            </w:tcMar>
          </w:tcPr>
          <w:p>
            <w:pPr>
              <w:spacing w:after="14" w:line="240" w:lineRule="auto" w:before="0"/>
            </w:pPr>
            <w:r>
              <w:rPr>
                <w:rFonts w:ascii="Aptos" w:hAnsi="Aptos"/>
                <w:b/>
                <w:i w:val="0"/>
                <w:color w:val="1F4D78"/>
                <w:sz w:val="13"/>
              </w:rPr>
              <w:t>Leadership</w:t>
            </w:r>
          </w:p>
          <w:p>
            <w:pPr>
              <w:spacing w:after="14" w:line="240" w:lineRule="auto" w:before="0"/>
            </w:pPr>
            <w:r>
              <w:rPr>
                <w:rFonts w:ascii="Aptos" w:hAnsi="Aptos"/>
                <w:b w:val="0"/>
                <w:i w:val="0"/>
                <w:sz w:val="12"/>
              </w:rPr>
              <w:t>Strong Other-section signal when written concisely: selection rate, awarding body, and leadership responsibility—not promotional adjectives.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Selective Program Delivery</w:t>
            </w:r>
          </w:p>
          <w:p>
            <w:pPr>
              <w:spacing w:before="0" w:after="14" w:line="240" w:lineRule="auto"/>
            </w:pPr>
            <w:r>
              <w:rPr>
                <w:rFonts w:ascii="Aptos" w:hAnsi="Aptos"/>
                <w:color w:val="1F2933"/>
                <w:sz w:val="12"/>
              </w:rPr>
              <w:t>Use only if the distinction recognized operating leadership: specify the program, team or process owned and measurable delivery result. Otherwise list the selective award without an operations rewrite.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Design Recognition</w:t>
            </w:r>
          </w:p>
          <w:p>
            <w:pPr>
              <w:spacing w:before="0" w:after="14" w:line="240" w:lineRule="auto"/>
            </w:pPr>
            <w:r>
              <w:rPr>
                <w:rFonts w:ascii="Aptos" w:hAnsi="Aptos"/>
                <w:color w:val="1F2933"/>
                <w:sz w:val="12"/>
              </w:rPr>
              <w:t>Use only if the award explicitly recognized a game, simulation, behavioral system, or engagement experiment. Do not reinterpret a general leadership award as gamification expertise.</w:t>
            </w:r>
          </w:p>
        </w:tc>
      </w:tr>
      <w:tr>
        <w:trPr>
          <w:cantSplit/>
        </w:trPr>
        <w:tc>
          <w:tcPr>
            <w:tcW w:type="dxa" w:w="2045"/>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25. Role-specific skills line</w:t>
              <w:br/>
              <w:br/>
              <w:t>Skills are an evidence index, not an accomplishment.</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Sales / Marketing</w:t>
            </w:r>
          </w:p>
          <w:p>
            <w:pPr>
              <w:spacing w:after="14" w:line="240" w:lineRule="auto" w:before="0"/>
            </w:pPr>
            <w:r>
              <w:rPr>
                <w:rFonts w:ascii="Aptos" w:hAnsi="Aptos"/>
                <w:b w:val="0"/>
                <w:i w:val="0"/>
                <w:sz w:val="12"/>
              </w:rPr>
              <w:t>GTM strategy, customer research, segmentation, positioning, channel partnerships, lifecycle analytics, CRM, Excel/SQL — retain only terms supported by a project example.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Finance — choose one lane</w:t>
            </w:r>
          </w:p>
          <w:p>
            <w:pPr>
              <w:spacing w:after="14" w:line="240" w:lineRule="auto" w:before="0"/>
            </w:pPr>
            <w:r>
              <w:rPr>
                <w:rFonts w:ascii="Aptos" w:hAnsi="Aptos"/>
                <w:b w:val="0"/>
                <w:i w:val="0"/>
                <w:sz w:val="12"/>
              </w:rPr>
              <w:t>IB/Corp Dev: valuation, LBO, transaction research. FP&amp;A: forecasting, budgeting, variance analysis. Accounting: close, controls, reporting. Do not combine all three without evidence.</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Product</w:t>
            </w:r>
          </w:p>
          <w:p>
            <w:pPr>
              <w:spacing w:after="14" w:line="240" w:lineRule="auto" w:before="0"/>
            </w:pPr>
            <w:r>
              <w:rPr>
                <w:rFonts w:ascii="Aptos" w:hAnsi="Aptos"/>
                <w:b w:val="0"/>
                <w:i w:val="0"/>
                <w:sz w:val="12"/>
              </w:rPr>
              <w:t>Discovery, roadmap prioritization, PRDs, experimentation, SQL, Python, Figma, Mixpanel/Amplitude, API/ML workflows — map each tool to shipped work.</w:t>
            </w:r>
          </w:p>
        </w:tc>
        <w:tc>
          <w:tcPr>
            <w:tcW w:type="dxa" w:w="2750"/>
            <w:shd w:fill="F4F8FC"/>
            <w:vAlign w:val="center"/>
            <w:tcMar>
              <w:top w:w="70" w:type="dxa"/>
              <w:start w:w="85" w:type="dxa"/>
              <w:bottom w:w="70" w:type="dxa"/>
              <w:end w:w="85" w:type="dxa"/>
            </w:tcMar>
          </w:tcPr>
          <w:p>
            <w:pPr>
              <w:spacing w:after="14" w:line="240" w:lineRule="auto" w:before="0"/>
            </w:pPr>
            <w:r>
              <w:rPr>
                <w:rFonts w:ascii="Aptos" w:hAnsi="Aptos"/>
                <w:b/>
                <w:i w:val="0"/>
                <w:color w:val="1F4D78"/>
                <w:sz w:val="13"/>
              </w:rPr>
              <w:t>CoS / Consulting</w:t>
            </w:r>
          </w:p>
          <w:p>
            <w:pPr>
              <w:spacing w:after="14" w:line="240" w:lineRule="auto" w:before="0"/>
            </w:pPr>
            <w:r>
              <w:rPr>
                <w:rFonts w:ascii="Aptos" w:hAnsi="Aptos"/>
                <w:b w:val="0"/>
                <w:i w:val="0"/>
                <w:sz w:val="12"/>
              </w:rPr>
              <w:t>Structured problem solving, executive communication, operating cadence, stakeholder management, program delivery, Excel/SQL — support with a decision or implementation example.</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Operations skills</w:t>
            </w:r>
          </w:p>
          <w:p>
            <w:pPr>
              <w:spacing w:before="0" w:after="14" w:line="240" w:lineRule="auto"/>
            </w:pPr>
            <w:r>
              <w:rPr>
                <w:rFonts w:ascii="Aptos" w:hAnsi="Aptos"/>
                <w:color w:val="1F2933"/>
                <w:sz w:val="12"/>
              </w:rPr>
              <w:t>Lean / Kaizen · Process mapping · SOP design · Capacity planning · Workforce planning · Service levels · Quality systems · Root-cause analysis · Vendor management · SQL / Excel dashboards</w:t>
            </w:r>
          </w:p>
        </w:tc>
        <w:tc>
          <w:tcPr>
            <w:tcW w:type="dxa" w:w="2750"/>
            <w:vAlign w:val="center"/>
            <w:tcMar>
              <w:top w:w="70" w:type="dxa"/>
              <w:start w:w="85" w:type="dxa"/>
              <w:bottom w:w="70" w:type="dxa"/>
              <w:end w:w="85" w:type="dxa"/>
            </w:tcMar>
          </w:tcPr>
          <w:p>
            <w:pPr>
              <w:spacing w:after="14" w:line="240" w:lineRule="auto" w:before="0"/>
            </w:pPr>
            <w:r>
              <w:rPr>
                <w:rFonts w:ascii="Aptos" w:hAnsi="Aptos"/>
                <w:sz w:val="13"/>
              </w:rPr>
            </w:r>
            <w:r>
              <w:rPr>
                <w:rFonts w:ascii="Aptos" w:hAnsi="Aptos"/>
                <w:b/>
                <w:color w:val="0B6E75"/>
                <w:sz w:val="13"/>
              </w:rPr>
              <w:t>Gamification skills</w:t>
            </w:r>
          </w:p>
          <w:p>
            <w:pPr>
              <w:spacing w:before="0" w:after="14" w:line="240" w:lineRule="auto"/>
            </w:pPr>
            <w:r>
              <w:rPr>
                <w:rFonts w:ascii="Aptos" w:hAnsi="Aptos"/>
                <w:color w:val="1F2933"/>
                <w:sz w:val="12"/>
              </w:rPr>
              <w:t>Behavioral diagnosis · Player/learner journeys · Progression systems · Challenge and feedback loops · Reward design · Experimentation · Retention/cohort analysis · Economy balancing · Fairness and anti-gaming</w:t>
            </w:r>
          </w:p>
        </w:tc>
      </w:tr>
    </w:tbl>
    <w:p>
      <w:pPr>
        <w:pStyle w:val="Heading1"/>
        <w:keepNext/>
        <w:pageBreakBefore/>
      </w:pPr>
      <w:r>
        <w:t>Final selection rules</w:t>
      </w:r>
    </w:p>
    <w:p>
      <w:pPr>
        <w:pStyle w:val="WorkshopBullet"/>
      </w:pPr>
      <w:r/>
      <w:r>
        <w:t>Do not use all six versions for one person. Each column represents a different hypothetical contributor on the same project.</w:t>
      </w:r>
    </w:p>
    <w:p>
      <w:pPr>
        <w:pStyle w:val="WorkshopBullet"/>
      </w:pPr>
      <w:r>
        <w:t>Select 3–5 work bullets that create one recruiting thesis. Education contributes 1–2 proof points; Other contributes 1–3 independent signals; Skills contains 8–12 defensible terms.</w:t>
      </w:r>
    </w:p>
    <w:p>
      <w:pPr>
        <w:pStyle w:val="WorkshopBullet"/>
      </w:pPr>
      <w:r>
        <w:t>A shared result is not automatically an individual result. Use “drove” only with direct ownership and a defensible causal chain; otherwise use “enabled,” “supported,” “underpinned,” or “contributed.”</w:t>
      </w:r>
    </w:p>
    <w:p>
      <w:pPr>
        <w:pStyle w:val="WorkshopBullet"/>
      </w:pPr>
      <w:r>
        <w:t>For top-company relevance, every bullet should expose a recognizable work product and a decision or metric—not only a project topic.</w:t>
      </w:r>
    </w:p>
    <w:p>
      <w:pPr>
        <w:pStyle w:val="WorkshopBullet"/>
      </w:pPr>
      <w:r>
        <w:t>Finance applicants must choose a lane. An investment-banking résumé, FP&amp;A résumé, and controllership résumé should not carry the same finance column unchanged.</w:t>
      </w:r>
    </w:p>
    <w:p>
      <w:pPr>
        <w:pStyle w:val="Heading1"/>
        <w:keepNext/>
        <w:pageBreakBefore w:val="0"/>
      </w:pPr>
      <w:r>
        <w:t>Research basis</w:t>
      </w:r>
    </w:p>
    <w:p>
      <w:pPr>
        <w:spacing w:after="60"/>
      </w:pPr>
      <w:r>
        <w:rPr>
          <w:rFonts w:ascii="Calibri" w:hAnsi="Calibri"/>
          <w:b w:val="0"/>
          <w:i w:val="0"/>
          <w:color w:val="666666"/>
          <w:sz w:val="15"/>
        </w:rPr>
        <w:t>Harvard FAS, “GSAS Master’s Resume &amp; Cover Letter”: tailoring and one-page MBA norm. https://careerservices.fas.harvard.edu/resources/gsas-masters-resume-cover-letter/</w:t>
      </w:r>
    </w:p>
    <w:p>
      <w:pPr>
        <w:spacing w:after="60"/>
      </w:pPr>
      <w:r>
        <w:rPr>
          <w:rFonts w:ascii="Calibri" w:hAnsi="Calibri"/>
          <w:b w:val="0"/>
          <w:i w:val="0"/>
          <w:color w:val="666666"/>
          <w:sz w:val="15"/>
        </w:rPr>
        <w:t>Wharton MBA Career Management, “General Resume Guidelines”: Project–Action–Result / X→Y and quantified outcomes. https://students.mbacareers.wharton.upenn.edu/wp-content/uploads/2014/11/GeneralResumeGuidelines.pdf</w:t>
      </w:r>
    </w:p>
    <w:p>
      <w:pPr>
        <w:spacing w:after="60"/>
      </w:pPr>
      <w:r>
        <w:rPr>
          <w:rFonts w:ascii="Calibri" w:hAnsi="Calibri"/>
          <w:b w:val="0"/>
          <w:i w:val="0"/>
          <w:color w:val="666666"/>
          <w:sz w:val="15"/>
        </w:rPr>
        <w:t>Amazon, Senior Product Manager roles: customer needs, roadmap ownership, experiments, KPIs, technical trade-offs, launches, and cross-functional influence. https://www.amazon.jobs/jobs/10433374</w:t>
      </w:r>
    </w:p>
    <w:p>
      <w:pPr>
        <w:spacing w:after="60"/>
      </w:pPr>
      <w:r>
        <w:rPr>
          <w:rFonts w:ascii="Calibri" w:hAnsi="Calibri"/>
          <w:b w:val="0"/>
          <w:i w:val="0"/>
          <w:color w:val="666666"/>
          <w:sz w:val="15"/>
        </w:rPr>
        <w:t>Amazon, Senior Product Marketing Manager, IMDb: customer insight, scalable GTM, engagement metrics, executive narratives, lifecycle marketing, and influence. https://www.amazon.jobs/en/jobs/10417957/sr-product-marketing-manager-imdb-imdb</w:t>
      </w:r>
    </w:p>
    <w:p>
      <w:pPr>
        <w:spacing w:after="60"/>
      </w:pPr>
      <w:r>
        <w:rPr>
          <w:rFonts w:ascii="Calibri" w:hAnsi="Calibri"/>
          <w:b w:val="0"/>
          <w:i w:val="0"/>
          <w:color w:val="666666"/>
          <w:sz w:val="15"/>
        </w:rPr>
        <w:t>J.P. Morgan, Investment Banking Associate Internship: financial analysis, research, pitches, origination, and transaction execution. https://careers.jpmorgan.com/global/en/students/programs/investment-banking-summer-associate</w:t>
      </w:r>
    </w:p>
    <w:p>
      <w:pPr>
        <w:spacing w:after="60"/>
      </w:pPr>
      <w:r>
        <w:rPr>
          <w:rFonts w:ascii="Calibri" w:hAnsi="Calibri"/>
          <w:b w:val="0"/>
          <w:i w:val="0"/>
          <w:color w:val="666666"/>
          <w:sz w:val="15"/>
        </w:rPr>
        <w:t>Amazon, Finance Manager: forecasting, budgeting, variance analysis, monthly close, reporting, audit queries, controls, and investment ROI. https://amazon.jobs/en-gb/jobs/3009375/finance-manager-amzl-south-india-amzl-finance</w:t>
      </w:r>
    </w:p>
    <w:p>
      <w:pPr>
        <w:spacing w:after="60"/>
      </w:pPr>
      <w:r>
        <w:rPr>
          <w:rFonts w:ascii="Calibri" w:hAnsi="Calibri"/>
          <w:b w:val="0"/>
          <w:i w:val="0"/>
          <w:color w:val="666666"/>
          <w:sz w:val="15"/>
        </w:rPr>
        <w:t>McKinsey MBA careers: workstream ownership, root issues, creative solutions, implementation, capability building, and lasting impact. https://www.mckinsey.com/careers/students/mba-degree</w:t>
      </w:r>
    </w:p>
    <w:p>
      <w:pPr>
        <w:spacing w:before="0" w:after="30" w:line="240" w:lineRule="auto"/>
      </w:pPr>
      <w:r>
        <w:rPr>
          <w:rFonts w:ascii="Aptos" w:hAnsi="Aptos"/>
          <w:b w:val="0"/>
          <w:color w:val="1F2933"/>
          <w:sz w:val="14"/>
        </w:rPr>
        <w:t>Amazon, Pathways Operations Manager: budget and people ownership, safety, quality, productivity, capacity, Lean/Six Sigma, and measurable process improvement. https://www.amazon.jobs/en/jobs/10453256/pathways-operations-manager-amz9958890</w:t>
      </w:r>
    </w:p>
    <w:p>
      <w:pPr>
        <w:spacing w:before="0" w:after="30" w:line="240" w:lineRule="auto"/>
      </w:pPr>
      <w:r>
        <w:rPr>
          <w:rFonts w:ascii="Aptos" w:hAnsi="Aptos"/>
          <w:b w:val="0"/>
          <w:color w:val="1F2933"/>
          <w:sz w:val="14"/>
        </w:rPr>
        <w:t>Electronic Arts, FC 26 progression and rewards update: challenge design, progression pacing, reward balancing, feedback, behavior effects, and economy stability. https://careers.ea.com/games/ea-sports-fc/fc-26/news/pitch-notes-fc26-launch-update</w:t>
      </w:r>
    </w:p>
    <w:p>
      <w:pPr>
        <w:spacing w:after="60"/>
      </w:pPr>
      <w:r>
        <w:rPr>
          <w:rFonts w:ascii="Calibri" w:hAnsi="Calibri"/>
          <w:b w:val="0"/>
          <w:i w:val="0"/>
          <w:color w:val="666666"/>
          <w:sz w:val="15"/>
        </w:rPr>
        <w:t>Internal research corpus: all original Word and PDF documents in the Job Application folder; achievements were consolidated as themes and then expanded into explicitly hypothetical teaching cases.</w:t>
      </w:r>
    </w:p>
    <w:sectPr w:rsidR="00FC693F" w:rsidRPr="0006063C" w:rsidSect="00034616">
      <w:footerReference w:type="default" r:id="rId9"/>
      <w:pgSz w:w="20160" w:h="12240" w:orient="landscape"/>
      <w:pgMar w:top="749" w:right="619" w:bottom="691" w:left="61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4"/>
      </w:rPr>
      <w:t>M7 MBA Résumé Workshop | Critical revision | Hypothetical examples — validate individual scope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shopBullet">
    <w:name w:val="Workshop Bullet"/>
    <w:basedOn w:val="ListBullet"/>
    <w:pPr>
      <w:spacing w:after="80" w:line="300" w:lineRule="auto"/>
      <w:ind w:left="540" w:hanging="271"/>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M7 MBA Resume Customization Workshop — Six Functions</dc:title>
  <dc:subject>Sales, finance, product, chief of staff/consulting, operations, and gamification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