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40"/>
        </w:rPr>
        <w:t>Same project. Four credible résumés.</w:t>
      </w:r>
    </w:p>
    <w:p>
      <w:pPr>
        <w:spacing w:after="160"/>
      </w:pPr>
      <w:r>
        <w:rPr>
          <w:rFonts w:ascii="Calibri" w:hAnsi="Calibri"/>
          <w:b w:val="0"/>
          <w:i/>
          <w:color w:val="1F4D78"/>
          <w:sz w:val="21"/>
        </w:rPr>
        <w:t>Critical audit and expanded functional-customization workbook for M7 MBA students</w:t>
      </w:r>
    </w:p>
    <w:p>
      <w:pPr>
        <w:spacing w:after="140"/>
      </w:pPr>
      <w:r>
        <w:rPr>
          <w:rFonts w:ascii="Calibri" w:hAnsi="Calibri"/>
          <w:b/>
          <w:i w:val="0"/>
          <w:color w:val="1F4D78"/>
          <w:sz w:val="18"/>
        </w:rPr>
        <w:t xml:space="preserve">Executive verdict. </w:t>
      </w:r>
      <w:r>
        <w:rPr>
          <w:rFonts w:ascii="Calibri" w:hAnsi="Calibri"/>
          <w:b w:val="0"/>
          <w:i w:val="0"/>
          <w:sz w:val="18"/>
        </w:rPr>
        <w:t>The prior version had a sound teaching concept but treated each function as equally strong in every project. That produced forced finance examples, repeated product phrasing, marketing-heavy sales examples, and over-attribution of shared outcomes. This revision keeps the cross-functional comparison while distinguishing plausible role scope, finance lanes, work products, and contribution-level causality.</w:t>
      </w:r>
    </w:p>
    <w:p>
      <w:pPr>
        <w:pStyle w:val="Heading1"/>
        <w:pageBreakBefore w:val="0"/>
      </w:pPr>
      <w:r>
        <w:t>Evaluation standard</w:t>
      </w:r>
    </w:p>
    <w:p>
      <w:pPr>
        <w:pStyle w:val="WorkshopBullet"/>
      </w:pPr>
      <w:r>
        <w:t>Realism (R): Is the work plausible for the named function, seniority, team size, and project? Does causality stay within the person’s control?</w:t>
      </w:r>
    </w:p>
    <w:p>
      <w:pPr>
        <w:pStyle w:val="WorkshopBullet"/>
      </w:pPr>
      <w:r>
        <w:t>Impressiveness (I): Would the accomplishment stand out after adjusting for scale, ownership, selectivity, and metric quality?</w:t>
      </w:r>
    </w:p>
    <w:p>
      <w:pPr>
        <w:pStyle w:val="WorkshopBullet"/>
      </w:pPr>
      <w:r>
        <w:t>Top-company relevance (T): Does it show the work products and outcomes emphasized by leading employers in that function?</w:t>
      </w:r>
    </w:p>
    <w:p>
      <w:pPr>
        <w:pStyle w:val="WorkshopBullet"/>
      </w:pPr>
      <w:r>
        <w:t>Scores use a 1–5 scale: 1 = weak or forced; 3 = credible but ordinary; 5 = exceptional and interview-ready. N/A means the item is a skills index rather than an achievement.</w:t>
      </w:r>
    </w:p>
    <w:p>
      <w:pPr>
        <w:pStyle w:val="Heading1"/>
        <w:pageBreakBefore w:val="0"/>
      </w:pPr>
      <w:r>
        <w:t>Column-level coherence audit</w:t>
      </w:r>
    </w:p>
    <w:tbl>
      <w:tblPr>
        <w:tblW w:type="dxa" w:w="14544"/>
        <w:jc w:val="left"/>
        <w:tblLook w:firstColumn="1" w:firstRow="1" w:lastColumn="0" w:lastRow="0" w:noHBand="0" w:noVBand="1" w:val="04A0"/>
        <w:tblInd w:w="105" w:type="dxa"/>
        <w:tblLayout w:type="fixed"/>
      </w:tblPr>
      <w:tblGrid>
        <w:gridCol w:w="2100"/>
        <w:gridCol w:w="4148"/>
        <w:gridCol w:w="4148"/>
        <w:gridCol w:w="4148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Function</w:t>
            </w:r>
          </w:p>
        </w:tc>
        <w:tc>
          <w:tcPr>
            <w:tcW w:type="dxa" w:w="4148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Current coherence</w:t>
            </w:r>
          </w:p>
        </w:tc>
        <w:tc>
          <w:tcPr>
            <w:tcW w:type="dxa" w:w="4148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Unbiased diagnosis</w:t>
            </w:r>
          </w:p>
        </w:tc>
        <w:tc>
          <w:tcPr>
            <w:tcW w:type="dxa" w:w="4148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Revision standard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Sales &amp; marketing</w:t>
            </w:r>
          </w:p>
        </w:tc>
        <w:tc>
          <w:tcPr>
            <w:tcW w:type="dxa" w:w="4148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3.6 / 5</w:t>
            </w:r>
          </w:p>
        </w:tc>
        <w:tc>
          <w:tcPr>
            <w:tcW w:type="dxa" w:w="4148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Coherent around GTM and customer value, but weighted toward positioning and partnerships. It rarely shows pipeline, win rate, conversion economics, lifecycle engagement, or sales execution.</w:t>
            </w:r>
          </w:p>
        </w:tc>
        <w:tc>
          <w:tcPr>
            <w:tcW w:type="dxa" w:w="4148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Label the lane (enterprise sales, BD, growth, PMM); show customer insight plus commercial mechanism and a sales/engagement metric.</w:t>
            </w:r>
          </w:p>
        </w:tc>
      </w:tr>
      <w:tr>
        <w:trPr>
          <w:cantSplit/>
        </w:trPr>
        <w:tc>
          <w:tcPr>
            <w:tcW w:type="dxa" w:w="2100"/>
            <w:shd w:fill="F4F8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Finance &amp; accounting</w:t>
            </w:r>
          </w:p>
        </w:tc>
        <w:tc>
          <w:tcPr>
            <w:tcW w:type="dxa" w:w="4148"/>
            <w:shd w:fill="F4F8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2.7 / 5</w:t>
            </w:r>
          </w:p>
        </w:tc>
        <w:tc>
          <w:tcPr>
            <w:tcW w:type="dxa" w:w="4148"/>
            <w:shd w:fill="F4F8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Least coherent column. Investment banking, FP&amp;A, accounting, and “commercial cases with numbers” are mixed together. Several NGO/speaker finance examples feel reverse-engineered.</w:t>
            </w:r>
          </w:p>
        </w:tc>
        <w:tc>
          <w:tcPr>
            <w:tcW w:type="dxa" w:w="4148"/>
            <w:shd w:fill="F4F8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Label the lane in every cell. Add valuation/origination, FP&amp;A, close/reporting, controls, working capital, and grant-accounting examples; do not force finance where no finance work existed.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Product development</w:t>
            </w:r>
          </w:p>
        </w:tc>
        <w:tc>
          <w:tcPr>
            <w:tcW w:type="dxa" w:w="4148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4.0 / 5</w:t>
            </w:r>
          </w:p>
        </w:tc>
        <w:tc>
          <w:tcPr>
            <w:tcW w:type="dxa" w:w="4148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Strongest functional vocabulary after consulting, but “designed a workflow” recurs too often. Some bullets lack launch ownership, adoption evidence, experimentation, or technical trade-offs.</w:t>
            </w:r>
          </w:p>
        </w:tc>
        <w:tc>
          <w:tcPr>
            <w:tcW w:type="dxa" w:w="4148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Show discovery → prioritization → delivery → metric; vary work products (PRD, roadmap, experiment, prototype, telemetry, launch) and identify the decision personally owned.</w:t>
            </w:r>
          </w:p>
        </w:tc>
      </w:tr>
      <w:tr>
        <w:trPr>
          <w:cantSplit/>
        </w:trPr>
        <w:tc>
          <w:tcPr>
            <w:tcW w:type="dxa" w:w="2100"/>
            <w:shd w:fill="F4F8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Chief of staff / consulting</w:t>
            </w:r>
          </w:p>
        </w:tc>
        <w:tc>
          <w:tcPr>
            <w:tcW w:type="dxa" w:w="4148"/>
            <w:shd w:fill="F4F8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4.2 / 5</w:t>
            </w:r>
          </w:p>
        </w:tc>
        <w:tc>
          <w:tcPr>
            <w:tcW w:type="dxa" w:w="4148"/>
            <w:shd w:fill="F4F8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Most coherent column: ambiguity, executive decisions, alignment, and implementation. Risk comes from generic “aligned stakeholders” language and claiming total project results.</w:t>
            </w:r>
          </w:p>
        </w:tc>
        <w:tc>
          <w:tcPr>
            <w:tcW w:type="dxa" w:w="4148"/>
            <w:shd w:fill="F4F8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sz w:val="16"/>
              </w:rPr>
              <w:t>Differentiate diagnosis, decision memo, PMO cadence, change adoption, governance, and capability building; use “enabled/contributed” unless the person owned the result.</w:t>
            </w:r>
          </w:p>
        </w:tc>
      </w:tr>
    </w:tbl>
    <w:p>
      <w:pPr>
        <w:pStyle w:val="Heading1"/>
        <w:pageBreakBefore/>
      </w:pPr>
      <w:r>
        <w:t>Pointer-by-pointer audit of the prior version</w:t>
      </w:r>
    </w:p>
    <w:p>
      <w:pPr>
        <w:spacing w:after="100"/>
      </w:pPr>
      <w:r>
        <w:rPr>
          <w:rFonts w:ascii="Calibri" w:hAnsi="Calibri"/>
          <w:b w:val="0"/>
          <w:i/>
          <w:color w:val="666666"/>
          <w:sz w:val="16"/>
        </w:rPr>
        <w:t>Each audit cell evaluates the exact function-facing pointer from the previous handout. “Issue” identifies the reason a score is constrained; the revised matrices later in this document implement the fix.</w:t>
      </w:r>
    </w:p>
    <w:tbl>
      <w:tblPr>
        <w:tblW w:type="dxa" w:w="14544"/>
        <w:jc w:val="left"/>
        <w:tblLook w:firstColumn="1" w:firstRow="1" w:lastColumn="0" w:lastRow="0" w:noHBand="0" w:noVBand="1" w:val="04A0"/>
        <w:tblInd w:w="105" w:type="dxa"/>
        <w:tblLayout w:type="fixed"/>
      </w:tblPr>
      <w:tblGrid>
        <w:gridCol w:w="2180"/>
        <w:gridCol w:w="3091"/>
        <w:gridCol w:w="3091"/>
        <w:gridCol w:w="3091"/>
        <w:gridCol w:w="3091"/>
      </w:tblGrid>
      <w:tr>
        <w:trPr>
          <w:tblHeader w:val="true"/>
        </w:trPr>
        <w:tc>
          <w:tcPr>
            <w:tcW w:type="dxa" w:w="2180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Prior shared row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Sales &amp; marketing audit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Finance &amp; accounting audit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Product audit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CoS / consulting audit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1. M&amp;A marketplace turnaround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Credible segmentation and repositioning; needs proof of lead generation, funnel ownership, and whether cycle reduction was measured.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I5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Potentially excellent, but one person sourcing 50 targets, normalizing SDE, building LBOs, and supporting financing is unusually broad. Narrow the transaction work product.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Buyer workflow is credible; “improved paid conversion” needs baseline, experiment, or adoption evidence.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I5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Strong turnaround story; Series A attribution is too direct unless this person owned investor workstream and diligence.</w:t>
            </w:r>
          </w:p>
        </w:tc>
      </w:tr>
      <w:tr>
        <w:trPr>
          <w:cantSplit/>
        </w:trPr>
        <w:tc>
          <w:tcPr>
            <w:tcW w:type="dxa" w:w="2180"/>
            <w:shd w:fill="F4F8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2. AIF marketplace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Institutional adoption is plausible; stronger with partner pipeline, conversion, and activation metrics.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I5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High signal but methodologically loose: IRR/MOIC/TVPI fit closed-end AIFs, not every PMF/PMS offering. Separate return frameworks and funding attribution.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Good user-to-workflow translation; “agentic comparison” can sound fashionable without shipped usage, data quality, and decision accuracy.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Credible ecosystem governance; needs a concrete decision artifact and implementation milestone.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3. Fintech PMF pivot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Clear segmentation and value-proposition work; commercialization metric beyond launch speed would improve it.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CAC/LTV/runway scenario is role-relevant; ensure it influenced a real capital allocation decision rather than being retrospective analysis.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R5 I4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Most realistic product bullet: research, backlog decision, MVP, and time-to-market. Add adoption or quality outcome.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Strong decision-case framing; “protected runway” needs quantified capital or months saved.</w:t>
            </w:r>
          </w:p>
        </w:tc>
      </w:tr>
      <w:tr>
        <w:trPr>
          <w:cantSplit/>
        </w:trPr>
        <w:tc>
          <w:tcPr>
            <w:tcW w:type="dxa" w:w="2180"/>
            <w:shd w:fill="F4F8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4. Enterprise AI win-back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Top-company relevant win-back story; clarify owned accounts, sales motion, and renewal/expansion result.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LTV/NPV model is plausible but generic. Stronger as a build-vs-buy or churn-at-risk decision with approved investment.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R5 I5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Excellent product evidence if personally shipped; needs usage, workflow-time, or model-quality metric to supplement account recovery.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Cross-functional recovery cadence is plausible but not distinctively CoS; add executive decision, dependency removal, and implementation governance.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5. Global program expansion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R5 I4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Strong channel/partner GTM fit; needs channel productivity or enterprise conversion alongside reach.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I3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Partner economics could be credible FP&amp;A, but no evidence that the prior profile owned pricing, terms, or cost-to-serve.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Reusable platform claim is plausible but broad; specify product artifact, launch, and usage telemetry.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Strong operating-model story; quantify delivery reliability, cycle time, or partner activation.</w:t>
            </w:r>
          </w:p>
        </w:tc>
      </w:tr>
      <w:tr>
        <w:trPr>
          <w:cantSplit/>
        </w:trPr>
        <w:tc>
          <w:tcPr>
            <w:tcW w:type="dxa" w:w="2180"/>
            <w:shd w:fill="F4F8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6. MBA applied-finance practicum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I3 T3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Feels forced into Sales unless the student owned customer discovery or partner pitch.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Relevant academic finance proof; distinguish classroom model from live investment underwriting.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I3 T3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Workflow/prototype is plausible but secondary to finance objective; needs actual user testing.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I3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Decision memo is credible but ordinary unless selectivity, client use, or implementation follows.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7. Technical capstone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I3 T3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Buyer-value framing is possible but weak without client discovery or adoption role.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I3 T3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Automation business case is reasonable; not accounting evidence and may be invented if no cost model existed.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R5 I4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Strongest natural fit: built workflow and improved processing time. Clarify test conditions and ownership.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Cross-functional coordination is credible; add stakeholder decision and project-risk resolution.</w:t>
            </w:r>
          </w:p>
        </w:tc>
      </w:tr>
      <w:tr>
        <w:trPr>
          <w:cantSplit/>
        </w:trPr>
        <w:tc>
          <w:tcPr>
            <w:tcW w:type="dxa" w:w="2180"/>
            <w:shd w:fill="F4F8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8. MBA competition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I3 T3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Generic segmentation/positioning language; low differentiation without ranking, judges, market evidence, or output.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I3 T3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Generic case analysis; respectable but weaker than real transaction, FP&amp;A, or investment work.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I3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Plausible roadmap work; low impact because the product was not shipped.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I3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Structured ambiguity is relevant but commonplace. Selectivity and result must carry the signal.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9. Community technology NGO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Partnership/adoption framing is credible, though “sales” should be labeled partnerships or growth.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R2 I2 T2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The prior finance cell was a warning, not a résumé pointer. It lacked a budget, funding, controls, or resource-allocation achievement.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I4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Curriculum iteration is credible product-like work; add engagement, completion, or learning outcome.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R5 I4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Strong leadership and implementation evidence; needs delivery-quality metric beyond reach.</w:t>
            </w:r>
          </w:p>
        </w:tc>
      </w:tr>
      <w:tr>
        <w:trPr>
          <w:cantSplit/>
        </w:trPr>
        <w:tc>
          <w:tcPr>
            <w:tcW w:type="dxa" w:w="2180"/>
            <w:shd w:fill="F4F8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10. Global speaking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I3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Useful category-credibility signal but not a primary work bullet. Add audience, invitation selectivity, or commercial follow-through.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R2 I2 T2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Resource-allocation language is forced unless the talk genuinely addressed finance and the speaker has finance credibility.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R3 I3 T3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Product feedback claim needs evidence that feedback changed roadmap or adoption.</w:t>
            </w:r>
          </w:p>
        </w:tc>
        <w:tc>
          <w:tcPr>
            <w:tcW w:type="dxa" w:w="3091"/>
            <w:shd w:fill="F4F8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I3 T4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Good communication signal; less impressive than owned client impact and best kept in Other.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11. Skills line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R5 I–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Relevant index if backed by examples; separate sales tools from marketing strategy and avoid unverified proficiency.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R4 I–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Good keywords but mixes IB, FP&amp;A, and accounting. Tailor the line to one recruiting lane.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R5 I–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Strong top-tech vocabulary if every tool maps to shipped work; avoid listing overlapping analytics tools without depth.</w:t>
            </w:r>
          </w:p>
        </w:tc>
        <w:tc>
          <w:tcPr>
            <w:tcW w:type="dxa" w:w="309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R5 I– T5</w:t>
            </w:r>
          </w:p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Coherent strategy/operations index; add specific program/BI tools only when used.</w:t>
            </w:r>
          </w:p>
        </w:tc>
      </w:tr>
    </w:tbl>
    <w:p>
      <w:pPr>
        <w:pStyle w:val="Heading1"/>
        <w:pageBreakBefore/>
      </w:pPr>
      <w:r>
        <w:t>What the revision changes</w:t>
      </w:r>
    </w:p>
    <w:p>
      <w:pPr>
        <w:pStyle w:val="WorkshopBullet"/>
      </w:pPr>
      <w:r>
        <w:t>Expands work experience from five to thirteen shared projects drawn from recurring source-repository themes: transactions, wealth-tech, fintech, AI, consulting products, education partnerships, global distribution, operating-model design, team scaling, family business transformation, vendor economics, public policy/grants, and NGO delivery.</w:t>
      </w:r>
    </w:p>
    <w:p>
      <w:pPr>
        <w:pStyle w:val="WorkshopBullet"/>
      </w:pPr>
      <w:r>
        <w:t>Tags each functional lane. “Finance &amp; accounting” now distinguishes Corporate Development/IB, Investment/Wealth, FP&amp;A/Finance Business Partner, Controllership, Vendor Finance, Grant Accounting, and Nonprofit Finance.</w:t>
      </w:r>
    </w:p>
    <w:p>
      <w:pPr>
        <w:pStyle w:val="WorkshopBullet"/>
      </w:pPr>
      <w:r>
        <w:t>Uses contribution-level causality. Shared outcomes remain visible, but individual bullets say enabled, supported, underpinned, or contributed unless the hypothetical person directly owned the result.</w:t>
      </w:r>
    </w:p>
    <w:p>
      <w:pPr>
        <w:pStyle w:val="WorkshopBullet"/>
      </w:pPr>
      <w:r>
        <w:t>Adds concrete work products—target list, model, investment memo, PRD, launch plan, dashboard, close process, control framework, decision memo, governance cadence—so students can defend what they actually did.</w:t>
      </w:r>
    </w:p>
    <w:p>
      <w:pPr>
        <w:pStyle w:val="Heading1"/>
        <w:pageBreakBefore/>
      </w:pPr>
      <w:r>
        <w:t>Revised work-experience matrix</w:t>
      </w:r>
    </w:p>
    <w:p>
      <w:pPr>
        <w:spacing w:after="100"/>
      </w:pPr>
      <w:r>
        <w:rPr>
          <w:rFonts w:ascii="Calibri" w:hAnsi="Calibri"/>
          <w:b w:val="0"/>
          <w:i/>
          <w:color w:val="666666"/>
          <w:sz w:val="16"/>
        </w:rPr>
        <w:t>Thirteen shared work contexts produce 52 function-specific examples. The bracketed lane is a workshop label and would not normally appear in the final résumé.</w:t>
      </w:r>
    </w:p>
    <w:tbl>
      <w:tblPr>
        <w:tblW w:type="dxa" w:w="14544"/>
        <w:jc w:val="left"/>
        <w:tblLook w:firstColumn="1" w:firstRow="1" w:lastColumn="0" w:lastRow="0" w:noHBand="0" w:noVBand="1" w:val="04A0"/>
        <w:tblInd w:w="105" w:type="dxa"/>
        <w:tblLayout w:type="fixed"/>
      </w:tblPr>
      <w:tblGrid>
        <w:gridCol w:w="2180"/>
        <w:gridCol w:w="3091"/>
        <w:gridCol w:w="3091"/>
        <w:gridCol w:w="3091"/>
        <w:gridCol w:w="3091"/>
      </w:tblGrid>
      <w:tr>
        <w:trPr>
          <w:tblHeader w:val="true"/>
        </w:trPr>
        <w:tc>
          <w:tcPr>
            <w:tcW w:type="dxa" w:w="2180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Shared project fact pattern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Sales &amp; marketing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Finance &amp; accounting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Product development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Chief of staff / consulting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1. M&amp;A marketplace turnaround</w:t>
              <w:br/>
              <w:br/>
              <w:t>Context: success-fee revenue volatility, buyer diligence friction, co-founder exits, and stalled financing.</w:t>
              <w:br/>
              <w:t>Outcome: $600K subscription run-rate; deal value 6x to $30K; sales cycle -40%; 500+ CFO hours saved; $10M Series A supported.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Enterprise Sales / BD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Segmented family-business sellers and PE-backed buyers, rebuilt the value proposition around “extended CFO” support, and launched a partner-led outbound motion that shortened the measured sales cycle 40% and increased average deal value 6x to $30K.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Corporate Development / IB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a proprietary target list from public and lending datasets, screened 50 off-market companies, normalized SDE for 12 priority targets, and prepared LBO/debt-capacity sensitivities used in buyer diligence and the platform’s Series A materials.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B2B Product Management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Converted buyer diligence pain points into pre-vetted seller profiles, matching rules, and an evaluation workflow; prioritized data-quality and review features that saved CFO users 500+ annual hours and supported subscription conversion.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Turnaround / Strategy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Diagnosed revenue volatility and executive churn, structured the subscription-pivot decision, and aligned founders on pricing, investor narrative, and weekly execution milestones; the workstream underpinned a $600K run-rate and Series A process.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2. AIF and portfolio-management marketplace</w:t>
              <w:br/>
              <w:br/>
              <w:t>Context: banks feared client poaching; fund managers lacked comparable decision data.</w:t>
              <w:br/>
              <w:t>Outcome: 3 bank MOUs, $10M follow-on financing supported, governed pilot designed.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Institutional Sales / Partnerships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Converted discovery with seven fund houses and private banks into a governed distribution proposition, account plan, and pilot pipeline; secured three high-LTV bank MOUs by addressing client ownership, advisor incentives, and HNI suitability.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Investment / Wealth Management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Standardized net cash flows, fees, liquidity, and downside scenarios; modeled IRR/MOIC/TVPI for closed-end AIFs and net-return/risk measures for portfolio-management-firm offerings; analysis supported bank diligence and a $10M financing narrative.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Fintech Product Management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Translated banker, fund-manager, and HNI research into data-ingestion rules, eligibility logic, comparable investment views, and suitability workflows; pilot design made risk-return and liquidity trade-offs decision-ready instead of merely listing products.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Ecosystem Strategy / CoS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Owned the cross-ecosystem decision process across founders, banks, and fund houses; resolved client-ownership conflict through governance principles, sequenced a pilot, and converted research into an investable marketplace plan that enabled three bank MOUs.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3. VC-backed fintech PMF pivot</w:t>
              <w:br/>
              <w:br/>
              <w:t>Context: committed capital was tied to a feature-heavy roadmap with weak adoption signals.</w:t>
              <w:br/>
              <w:t>Outcome: MVP launched in 3 vs. 6 months; capital redirected to validated use cases.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Growth / Product Marketing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Identified a higher-intent segment through interviews, competitor mapping, and message tests; rebuilt the launch narrative around the validated job-to-be-done and generated a qualified beta cohort that accelerated market entry from six to three months.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FP&amp;A / Finance Business Partner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Modeled CAC, activation, conversion, retention, payback, and cash-runway scenarios for the original roadmap versus staged release; recommendation redirected committed capital to the validated wedge and preserved three months of launch runway.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Consumer Product Management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Led discovery through interviews, competitor teardown, A/B tests, and beta telemetry; removed low-signal features, wrote the MVP requirements, and reprioritized the backlog to launch in three months instead of six.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CEO Office / Strategy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Synthesized customer evidence, unit economics, delivery risk, and investor commitments into the CEO’s roadmap-reset memo; aligned product and engineering on a phased plan that halved time to market while protecting runway.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4. Enterprise AI account recovery</w:t>
              <w:br/>
              <w:br/>
              <w:t>Context: a digital-forensics vendor lost accounts to AI-first competitors.</w:t>
              <w:br/>
              <w:t>Outcome: 6 of 8 enterprise clients recovered; LTV +18%.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Enterprise Sales / Account Management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an eight-account win-back plan, reframed AI features around investigator productivity and evidentiary risk, and led proof-of-value conversations that recovered six churned enterprise accounts and increased client LTV 18%.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Finance Business Partner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Quantified churn-at-risk, implementation cost, renewal probability, and expansion NPV for build-versus-buy options; the approved investment case prioritized the AI assistant and established account-level LTV targets for the recovery program.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AI Product Management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Defined and launched a secure investigator assistant with object search, anomaly alerts, and multimedia summarization; instrumented feature use and reduced non-technical workflow friction, contributing to recovery of six of eight enterprise accounts.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Transformation / CoS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Ran the executive recovery workstream across Sales, Product, Security, and Customer Success; converted churn evidence into decisions, removed launch dependencies, and established weekly account milestones that enabled six enterprise recoveries.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5. Consulting diagnostic and upsell engine</w:t>
              <w:br/>
              <w:br/>
              <w:t>Context: a Canadian consultancy faced declining revenue and weak needs discovery.</w:t>
              <w:br/>
              <w:t>Outcome: revenue +35%; attach rate 80%; referrals +30%; NPS above 90.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Consultative Sales / Growth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Redesigned discovery around a gamified organizational-needs diagnostic, trained consultants to convert signals into targeted offers, and implemented follow-up plays that produced an 80% attach rate, 35% revenue growth, and 30% referral growth.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FP&amp;A / Pricing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Modeled service-line margin, delivery capacity, attach economics, and price realization for diagnostic-led engagements; recommended packaging and utilization thresholds that improved hourly yield and supported 35% revenue growth.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B2B Product Management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Led research with consultants and clients, converted qualitative needs into a scoring model and recommendation workflow, and iterated the diagnostic using session data; product adoption reached an 80% attach rate and NPS above 90.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Growth Strategy / Consulting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Diagnosed revenue decline, facilitated the partner decision on a diagnostic-led growth model, and embedded new discovery and referral routines; implementation contributed to 35% revenue growth and sustained attach-rate improvement.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6. Higher-education partner vertical</w:t>
              <w:br/>
              <w:br/>
              <w:t>Context: an internship platform needed a scalable, higher-LTV institutional channel.</w:t>
              <w:br/>
              <w:t>Outcome: partner network tripled to 3,000+ institutions; 10+ national alliances; ARPU +20%; retention +10%.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Business Development / Partnerships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Reframed the institutional value proposition, built regulator and workforce-agency account plans, and secured 10+ national alliances; the channel tripled college reach to 3,000+ institutions and supported 20% ARPU growth.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Commercial FP&amp;A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the vertical P&amp;L and cohort model across acquisition cost, onboarding expense, ARPU, retention, and partner contribution; identified the institutional channel as the higher-LTV growth path and set expansion thresholds.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Platform Product Management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Mapped college-administrator workflows, simplified partner onboarding and campaign management, and prioritized institution-level reporting; product changes supported a threefold network expansion and a 10% retention increase.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Growth Strategy / Program Lead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Structured the new-vertical workstream, aligned product, sales, legal, and public-sector stakeholders, and created a partner-governance cadence; execution scaled the network to 3,000+ institutions through 10+ national alliances.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7. International partner-led expansion</w:t>
              <w:br/>
              <w:br/>
              <w:t>Context: a simulation business sought global scale without a large direct-sales force.</w:t>
              <w:br/>
              <w:t>Outcome: 40K learners across 7 countries; repeatable enterprise delivery.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Channel Sales / PMM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Recruited and enabled trainer partners in seven countries, localized positioning, and established account-based enterprise plays; the channel scaled programs to 40K learners while expanding distribution without equivalent direct-sales headcount.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FP&amp;A / Channel Finance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partner-level pricing, revenue-share, capacity, and cost-to-serve models; set minimum-margin and activation thresholds that prioritized scalable channels and supported controlled delivery to 40K learners.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Platform Product Management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Defined reusable content modules, localization requirements, cohort analytics, and feedback loops for enterprise delivery; the platform supported repeated deployment to 40K learners across seven countries.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Operating Model / CoS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Designed roles, partner onboarding, quality reviews, performance dashboards, and escalation paths across a distributed delivery network; the operating model enabled repeatable execution in seven countries.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8. Founder-led operating-model redesign</w:t>
              <w:br/>
              <w:br/>
              <w:t>Context: a consulting startup relied on 8–15 freelancers, creating execution and cash-flow variability.</w:t>
              <w:br/>
              <w:t>Outcome: operational cost -50%; team efficiency +25%; asynchronous delivery stabilized.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Revenue Operations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Standardized opportunity qualification, proposal templates, CRM stages, and handoffs from sale to delivery; improved forecast visibility and reduced founder dependency across a distributed client pipeline.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Controllership / FP&amp;A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Implemented project costing, invoice milestones, contractor accruals, a 13-week cash forecast, and monthly variance reviews; controls improved margin visibility and contributed to a 50% reduction in operating cost.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Internal Tools Product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Mapped freelancer pain points, defined a plug-and-play project workspace and performance dashboard, and iterated asynchronous workflows; adoption improved team efficiency 25% and reduced human dependency.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Founder’s Office / Operations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Redesigned cross-functional workflows, decision rights, quality gates, and performance cadence for 8–15 freelancers; the operating system stabilized asynchronous delivery and contributed to a 50% operating-cost reduction.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9. Corporate-training venture scale-up</w:t>
              <w:br/>
              <w:br/>
              <w:t>Context: team expanded rapidly from 2 to 118 contributors while creating 24 simulations.</w:t>
              <w:br/>
              <w:t>Outcome: revenue 12x; second-line leaders developed; enterprise programs delivered.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Enterprise Sales / Partnerships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enterprise use cases, partner pitches, and public/private relationship plays; secured programs with major employers and agencies, contributing to 12x revenue growth while the team scaled to 118 contributors.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FP&amp;A / Controls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Introduced project budgets, contractor approvals, revenue tracking, and scenario-based headcount plans for rapid scale; improved visibility into program profitability and cash needs while revenue grew 12x.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Learning Product Management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Prioritized a 24-simulation portfolio, standardized design sprints and facilitator feedback, and managed release sequencing across a 118-person contributor base; enabled repeatable enterprise program delivery.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Org Design / CoS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second-line leadership, role architecture, team cadences, and escalation mechanisms as the organization grew from 2 to 118 contributors; preserved delivery while launching 24 simulations and scaling revenue 12x.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10. Family consumer-health transformation</w:t>
              <w:br/>
              <w:br/>
              <w:t>Context: traditional distribution, manual operations, and weak retention constrained growth.</w:t>
              <w:br/>
              <w:t>Outcome: revenue 15x in franchise initiative; OPEX -22%; AOV +40%; retention 46%→72%; Singapore/Nepal distribution.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Sales / Channel Development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Converted resistant clinics across 10 districts to a franchise model, built reseller relationships in Singapore and Nepal, and introduced upsell/cross-sell plays; initiative served 8K customers monthly and contributed to 15x revenue growth.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FP&amp;A / Working Capital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SKU- and channel-margin views, working-capital forecasts, and distributor economics; analysis prioritized higher-margin bundles and digital processes that contributed to 22% lower operating cost and stronger cash predictability.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Commerce Product / Digital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Redesigned digital ordering, product bundles, and retention journeys using purchase behavior and customer feedback; changes increased average order value 40% and retention from 46% to 72%.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Family Business Strategy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Structured the franchise, digital-transformation, and cross-border expansion roadmap; aligned family owners, clinics, and distributors on governance and milestones, enabling entry into Singapore and Nepal while modernizing operations.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11. Build-versus-buy simulation economics</w:t>
              <w:br/>
              <w:br/>
              <w:t>Context: a training firm depended on an external vendor for its core simulation.</w:t>
              <w:br/>
              <w:t>Outcome: contribution margin 18%→72%; in-house offer generated 80% of $200K ARR.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Solution Sales / Packaging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Repackaged the in-house simulation into the core consulting offer, created facilitator proof points and attach plays, and supported adoption that generated 80% of the firm’s $200K ARR.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Vendor Finance / FP&amp;A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the vendor-versus-in-house model across development cost, license expense, utilization, price, and contribution margin; recommendation shifted investment in-house and improved contribution margin from 18% to 72%.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B2B Product Management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Defined the in-house simulation requirements, sequenced MVP and facilitator tooling, and incorporated client-session feedback; the product replaced vendor dependency and generated 80% of $200K ARR.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Transformation / Program Lead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Aligned leadership on the build-versus-buy decision, governed vendor transition, and coordinated product, facilitator, and commercial readiness; implementation reduced dependency and lifted contribution margin to 72%.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12. Government grants and industry policy</w:t>
              <w:br/>
              <w:br/>
              <w:t>Context: a gaming startup needed non-dilutive funding and an enabling policy environment.</w:t>
              <w:br/>
              <w:t>Outcome: $21K grants; only funded venture among 36 incubator applicants; AVGC-XR policy contribution.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Public-Sector Partnerships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a stakeholder map and evidence-led narrative for ministries, legislators, and industry bodies; secured $21K in grants and mobilized roundtables that contributed to the AVGC-XR policy agenda.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Grant Accounting / Finance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Prepared milestone budgets, eligible-cost schedules, cash-use controls, and grant reporting for two government awards; compliance enabled deployment of $21K in non-dilutive funding against approved innovation milestones.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Product / Innovation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Converted grant objectives into prototype milestones, evidence plans, and measurable user outcomes for a team-dynamics simulation; delivery supported continued sponsor confidence and commercialization readiness.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Public Policy / CoS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Coordinated founders, industry stakeholders, legislators, and ministries; translated sector barriers into policy options and managed roundtables, follow-ups, and grant milestones that advanced the AVGC-XR agenda.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13. NGO technology-learning scale</w:t>
              <w:br/>
              <w:br/>
              <w:t>Context: volunteer initiative delivered AI/robotics workshops to underserved schools and communities.</w:t>
              <w:br/>
              <w:t>Outcome: 10K learners across 30+ institutions; 22 volunteers; student ventures and national representation.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Partnerships / Fundraising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school, NGO, alumni, and sponsor partnerships, localized the impact story, and created a repeatable outreach model; mobilized resources and access for AI/robotics programs reaching 10K learners.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Nonprofit Finance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program budgets, cost-per-learner reporting, donor-use controls, and resource-allocation scenarios across institutions; improved funding transparency and enabled deployment to 10K learners with a 22-volunteer model.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Education Product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Designed hands-on AI/robotics curricula, facilitator guides, and learner feedback loops; iterated workshops across 30+ institutions and created pathways that supported student ventures and advanced competitions.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Social Impact Strategy / CoS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the 22-volunteer delivery model, aligned schools and NGOs on standards, and established training, scheduling, and review cadences; scaled access to 10K learners across 30+ institutions.</w:t>
            </w:r>
          </w:p>
        </w:tc>
      </w:tr>
    </w:tbl>
    <w:p>
      <w:pPr>
        <w:pStyle w:val="Heading1"/>
        <w:pageBreakBefore/>
      </w:pPr>
      <w:r>
        <w:t>Revised education and academic-project matrix</w:t>
      </w:r>
    </w:p>
    <w:p>
      <w:pPr>
        <w:spacing w:after="100"/>
      </w:pPr>
      <w:r>
        <w:rPr>
          <w:rFonts w:ascii="Calibri" w:hAnsi="Calibri"/>
          <w:b w:val="0"/>
          <w:i/>
          <w:color w:val="666666"/>
          <w:sz w:val="16"/>
        </w:rPr>
        <w:t>Education examples should prove relevant training, applied judgment, and selectivity. They should not imitate senior work experience or claim live-business causality when the setting was academic.</w:t>
      </w:r>
    </w:p>
    <w:tbl>
      <w:tblPr>
        <w:tblW w:type="dxa" w:w="14544"/>
        <w:jc w:val="left"/>
        <w:tblLook w:firstColumn="1" w:firstRow="1" w:lastColumn="0" w:lastRow="0" w:noHBand="0" w:noVBand="1" w:val="04A0"/>
        <w:tblInd w:w="105" w:type="dxa"/>
        <w:tblLayout w:type="fixed"/>
      </w:tblPr>
      <w:tblGrid>
        <w:gridCol w:w="2180"/>
        <w:gridCol w:w="3091"/>
        <w:gridCol w:w="3091"/>
        <w:gridCol w:w="3091"/>
        <w:gridCol w:w="3091"/>
      </w:tblGrid>
      <w:tr>
        <w:trPr>
          <w:tblHeader w:val="true"/>
        </w:trPr>
        <w:tc>
          <w:tcPr>
            <w:tcW w:type="dxa" w:w="2180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Shared project fact pattern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Sales &amp; marketing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Finance &amp; accounting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Product development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Chief of staff / consulting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14. MBA investment practicum</w:t>
              <w:br/>
              <w:br/>
              <w:t>Student team evaluated a hypothetical AIF distribution opportunity; recommendation selected for pilot review.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Customer / Partner Research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Translated investor and bank interviews into segment-specific value propositions and a partner-launch narrative; recommendation was selected for pilot review.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Investment Analysis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comparable return and risk views across cash flows, fees, liquidity, and downside cases; investment committee selected the team’s pilot recommendation.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Fintech Product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Converted suitability requirements into a prototype comparison workflow and tested comprehension with prospective users; findings shaped the recommended pilot.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Decision Memo / Team Lead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Synthesized investor, fund, and bank inputs into the committee memo and aligned the student team on governance, pilot scope, and decision criteria.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15. CV/NLP digitization capstone</w:t>
              <w:br/>
              <w:br/>
              <w:t>Cross-disciplinary team built a document-processing proof of concept; simulated processing time -30%.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B2B Value Proposition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Conducted sponsor discovery and translated a 30% cycle-time improvement into a buyer-facing service-quality and capacity proposition.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Automation Business Case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Modeled processing capacity, labor cost, error exposure, and payback; analysis supported prioritization of the automation proof of concept.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Technical Product / Build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Defined and tested the CV/NLP workflow, converted manual records into structured data, and reduced simulated processing time approximately 30%.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Program Lead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Coordinated business and technical workstreams, converted sponsor requirements into milestones, and communicated the operating implications of the prototype.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16. Global AI scholar — telematics</w:t>
              <w:br/>
              <w:br/>
              <w:t>Selected as youngest scholar from 6K+ applicants; international team developed fuel-level and resale-value analytics.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Client Solutions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Translated insurer and fleet-manager needs into demonstration narratives for fuel accuracy and vehicle-value insights; presented the sponsor-ready use case.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Commercial Analytics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Modeled the economic impact of fuel-reading errors and resale-value signals; quantified the decision value and assumptions for sponsor review.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AI Product / Analytics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Developed fuel-level and resale-value dashboards using telematics, driving behavior, terrain, and weather signals; prototype reduced fuel-reading error from 6% to 1.5% in testing.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Global Team Lead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Aligned a seven-country team on scope, analytical approach, and sponsor milestones; integrated technical outputs into a decision-ready final presentation.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17. UC Berkeley venture catalyst</w:t>
              <w:br/>
              <w:br/>
              <w:t>Global cohort developed an AI Scrum-management concept with sponsor input.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Product Marketing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Interviewed project managers, sized the delay problem, and built a sponsor pitch around schedule predictability and manager adoption.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Finance / ROI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Estimated delay cost, implementation expense, and time-to-value for the AI assistant; business case defined the conditions for sponsor adoption.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Product Discovery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Led project-manager discovery, defined the AI-assisted workflow and prototype requirements, and tested the concept with cohort feedback.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Cross-Cultural Program Lead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Coordinated contributors across countries, structured the workplan, and facilitated the sponsor decision narrative under a compressed program timeline.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18. Robotics portfolio</w:t>
              <w:br/>
              <w:br/>
              <w:t>University team built multiple AI/IoT prototypes and secured competitive or institutional recognition.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Sponsorship / Partnerships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Converted prototype use cases into sponsor proposals and demonstration narratives that secured institutional support and competition visibility.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Project Finance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prototype budgets, grant-use plans, and procurement tracking; supported responsible deployment of institutional funding across the portfolio.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Hardware / AI Product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Led requirements, prototyping, and field tests for selected AI/IoT systems; clarify the personally owned subsystem and test outcome in the final résumé.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Portfolio / Team Lead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Prioritized the project portfolio, assigned owners, managed design reviews, and prepared competition submissions across multiple prototypes.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19. MBA competition portfolio</w:t>
              <w:br/>
              <w:br/>
              <w:t>Hackathon win, investment/VC competition selection, and finalist experiences.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Commercial Case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Owned customer insight, positioning, and pitch narrative in a judged venture case; show ranking and judge feedback rather than generic participation.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Investment / Diligence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market, valuation, and downside analysis for a judged investment case; selection signal matters only when the personal work product is explicit.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Product Case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Owned the MVP, experiment, or demo in a product hackathon; name the shipped artifact, user evidence, and award/selectivity.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Case Team Leadership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Structured the problem, divided workstreams, and synthesized the final recommendation under deadline; state ranking and team size to establish selectivity.</w:t>
            </w:r>
          </w:p>
        </w:tc>
      </w:tr>
    </w:tbl>
    <w:p>
      <w:pPr>
        <w:pStyle w:val="Heading1"/>
        <w:pageBreakBefore/>
      </w:pPr>
      <w:r>
        <w:t>Revised leadership, extracurricular, and skills matrix</w:t>
      </w:r>
    </w:p>
    <w:p>
      <w:pPr>
        <w:spacing w:after="100"/>
      </w:pPr>
      <w:r>
        <w:rPr>
          <w:rFonts w:ascii="Calibri" w:hAnsi="Calibri"/>
          <w:b w:val="0"/>
          <w:i/>
          <w:color w:val="666666"/>
          <w:sz w:val="16"/>
        </w:rPr>
        <w:t>These examples show how NGO, education, athletics, and mentoring contexts can produce legitimate functional contributions. Some projects do not naturally produce a strong pointer for every function; the document says so rather than forcing one.</w:t>
      </w:r>
    </w:p>
    <w:tbl>
      <w:tblPr>
        <w:tblW w:type="dxa" w:w="14544"/>
        <w:jc w:val="left"/>
        <w:tblLook w:firstColumn="1" w:firstRow="1" w:lastColumn="0" w:lastRow="0" w:noHBand="0" w:noVBand="1" w:val="04A0"/>
        <w:tblInd w:w="105" w:type="dxa"/>
        <w:tblLayout w:type="fixed"/>
      </w:tblPr>
      <w:tblGrid>
        <w:gridCol w:w="2180"/>
        <w:gridCol w:w="3091"/>
        <w:gridCol w:w="3091"/>
        <w:gridCol w:w="3091"/>
        <w:gridCol w:w="3091"/>
      </w:tblGrid>
      <w:tr>
        <w:trPr>
          <w:tblHeader w:val="true"/>
        </w:trPr>
        <w:tc>
          <w:tcPr>
            <w:tcW w:type="dxa" w:w="2180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Shared project fact pattern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Sales &amp; marketing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Finance &amp; accounting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Product development</w:t>
            </w:r>
          </w:p>
        </w:tc>
        <w:tc>
          <w:tcPr>
            <w:tcW w:type="dxa" w:w="3091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Chief of staff / consulting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20. Global conference speaking</w:t>
              <w:br/>
              <w:br/>
              <w:t>Invited sessions across India, UK, Canada, and Singapore; one event reached 10K+ attendees.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Category Marketing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Positioned data-driven simulations for practitioner audiences and used invited sessions to build category credibility and partner relationships across four markets.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Finance Communication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Use only when the content was genuinely financial: translated scenario economics and resource trade-offs for non-finance audiences; otherwise omit from a finance résumé.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Product Evangelism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Demonstrated simulation workflows, captured structured practitioner feedback, and identified product improvements; name the roadmap change if one followed.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Executive Communication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Translated complex analytics into audience-ready recommendations and facilitated cross-border practitioner dialogue; strong Other-section signal, not a substitute for client impact.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21. National sport and founding captaincy</w:t>
              <w:br/>
              <w:br/>
              <w:t>National-level Kho-Kho player; founded and captained a university team.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Influence / Recruiting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Won institutional support, recruited the founding roster, and built team identity for a new university sports program; strong leadership signal, not a commercial claim.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Resource Stewardship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If owned: prepared equipment/travel budgets and funding requests for a new team. Otherwise retain the athletic achievement without manufacturing finance content.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Team Systems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Designed practice routines, player feedback, and match preparation; relevant as leadership evidence, not as product experience.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Leadership / Resilience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Founded and captained the university team, navigating approvals, recruiting players, and competing nationally; concise, credible evidence of persistence and team leadership.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22. Rural health social venture</w:t>
              <w:br/>
              <w:br/>
              <w:t>Campaign increased sanitary-product adoption among 5K+ rural women through community partners.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Social Marketing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Segmented barriers to adoption and activated teachers, health workers, and community leaders; campaign supported sanitary-product adoption among 5K+ rural women.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Social Enterprise Finance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Built channel economics, affordability scenarios, and partner budgets; use only if personally owned and connect to sustainable distribution, not merely impact reach.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Service / Experience Design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Mapped cultural and access barriers, prototyped community-led education touchpoints, and iterated the adoption journey with local feedback.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Impact Strategy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Aligned venture, community, and implementation partners around an adoption roadmap and measurement plan; initiative reached 5K+ rural women.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23. Venture mentoring / investment exposure</w:t>
              <w:br/>
              <w:br/>
              <w:t>Evaluated or mentored early-stage ventures through fund, grant, or entrepreneurship programs.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Founder Growth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Advised founders on segmentation, positioning, partnership strategy, and acquisition experiments; name one venture outcome that can be attributed to the advice.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Venture Evaluation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Screened ventures, analyzed market and unit economics, and prepared investment recommendations; distinguish formal investment authority from informal mentorship.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Product Mentoring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Coached founders on discovery, MVP scope, and adoption metrics; cite the specific pivot, launch, or experiment that followed.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Advisor / Strategy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Structured founder problems, challenged assumptions, and translated recommendations into 30/60/90-day plans; strong if implementation and outcome are known.</w:t>
            </w:r>
          </w:p>
        </w:tc>
      </w:tr>
      <w:tr>
        <w:trPr>
          <w:cantSplit/>
        </w:trPr>
        <w:tc>
          <w:tcPr>
            <w:tcW w:type="dxa" w:w="2180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24. Selective leadership journeys and awards</w:t>
              <w:br/>
              <w:br/>
              <w:t>Top-1% social-change selection, Youth Icon recognition, and national mentor/trainer selection.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Brand / Community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Use selectivity and audience scale to signal community credibility; avoid combining several awards into an unreadable superlative list.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Finance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Generally not finance-relevant. Retain one selective award in Other rather than inventing a financial contribution.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Product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Use only if the selection resulted from a product or innovation; name the artifact and evaluation criterion.</w:t>
            </w:r>
          </w:p>
        </w:tc>
        <w:tc>
          <w:tcPr>
            <w:tcW w:type="dxa" w:w="3091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Leadership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Strong Other-section signal when written concisely: selection rate, awarding body, and leadership responsibility—not promotional adjectives.</w:t>
            </w:r>
          </w:p>
        </w:tc>
      </w:tr>
      <w:tr>
        <w:trPr>
          <w:cantSplit/>
        </w:trPr>
        <w:tc>
          <w:tcPr>
            <w:tcW w:type="dxa" w:w="2180"/>
            <w:shd w:fill="F4F8FC"/>
            <w:vAlign w:val="top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25. Role-specific skills line</w:t>
              <w:br/>
              <w:br/>
              <w:t>Skills are an evidence index, not an accomplishment.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Sales / Marketing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GTM strategy, customer research, segmentation, positioning, channel partnerships, lifecycle analytics, CRM, Excel/SQL — retain only terms supported by a project example.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Finance — choose one lane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IB/Corp Dev: valuation, LBO, transaction research. FP&amp;A: forecasting, budgeting, variance analysis. Accounting: close, controls, reporting. Do not combine all three without evidence.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Product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Discovery, roadmap prioritization, PRDs, experimentation, SQL, Python, Figma, Mixpanel/Amplitude, API/ML workflows — map each tool to shipped work.</w:t>
            </w:r>
          </w:p>
        </w:tc>
        <w:tc>
          <w:tcPr>
            <w:tcW w:type="dxa" w:w="3091"/>
            <w:shd w:fill="F4F8FC"/>
            <w:vAlign w:val="top"/>
          </w:tcPr>
          <w:p>
            <w:pPr>
              <w:spacing w:after="40" w:line="250" w:lineRule="auto"/>
            </w:pPr>
            <w:r>
              <w:rPr>
                <w:rFonts w:ascii="Calibri" w:hAnsi="Calibri"/>
                <w:b/>
                <w:i w:val="0"/>
                <w:color w:val="1F4D78"/>
                <w:sz w:val="14"/>
              </w:rPr>
              <w:t>CoS / Consulting</w:t>
            </w:r>
          </w:p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Structured problem solving, executive communication, operating cadence, stakeholder management, program delivery, Excel/SQL — support with a decision or implementation example.</w:t>
            </w:r>
          </w:p>
        </w:tc>
      </w:tr>
    </w:tbl>
    <w:p>
      <w:pPr>
        <w:pStyle w:val="Heading1"/>
        <w:pageBreakBefore/>
      </w:pPr>
      <w:r>
        <w:t>Final selection rules</w:t>
      </w:r>
    </w:p>
    <w:p>
      <w:pPr>
        <w:pStyle w:val="WorkshopBullet"/>
      </w:pPr>
      <w:r>
        <w:t>Do not use all four versions for one person. Each column represents a different hypothetical contributor on the same project.</w:t>
      </w:r>
    </w:p>
    <w:p>
      <w:pPr>
        <w:pStyle w:val="WorkshopBullet"/>
      </w:pPr>
      <w:r>
        <w:t>Select 3–5 work bullets that create one recruiting thesis. Education contributes 1–2 proof points; Other contributes 1–3 independent signals; Skills contains 8–12 defensible terms.</w:t>
      </w:r>
    </w:p>
    <w:p>
      <w:pPr>
        <w:pStyle w:val="WorkshopBullet"/>
      </w:pPr>
      <w:r>
        <w:t>A shared result is not automatically an individual result. Use “drove” only with direct ownership and a defensible causal chain; otherwise use “enabled,” “supported,” “underpinned,” or “contributed.”</w:t>
      </w:r>
    </w:p>
    <w:p>
      <w:pPr>
        <w:pStyle w:val="WorkshopBullet"/>
      </w:pPr>
      <w:r>
        <w:t>For top-company relevance, every bullet should expose a recognizable work product and a decision or metric—not only a project topic.</w:t>
      </w:r>
    </w:p>
    <w:p>
      <w:pPr>
        <w:pStyle w:val="WorkshopBullet"/>
      </w:pPr>
      <w:r>
        <w:t>Finance applicants must choose a lane. An investment-banking résumé, FP&amp;A résumé, and controllership résumé should not carry the same finance column unchanged.</w:t>
      </w:r>
    </w:p>
    <w:p>
      <w:pPr>
        <w:pStyle w:val="Heading1"/>
        <w:pageBreakBefore w:val="0"/>
      </w:pPr>
      <w:r>
        <w:t>Research basis</w:t>
      </w:r>
    </w:p>
    <w:p>
      <w:pPr>
        <w:spacing w:after="60"/>
      </w:pPr>
      <w:r>
        <w:rPr>
          <w:rFonts w:ascii="Calibri" w:hAnsi="Calibri"/>
          <w:b w:val="0"/>
          <w:i w:val="0"/>
          <w:color w:val="666666"/>
          <w:sz w:val="15"/>
        </w:rPr>
        <w:t>Harvard FAS, “GSAS Master’s Resume &amp; Cover Letter”: tailoring and one-page MBA norm. https://careerservices.fas.harvard.edu/resources/gsas-masters-resume-cover-letter/</w:t>
      </w:r>
    </w:p>
    <w:p>
      <w:pPr>
        <w:spacing w:after="60"/>
      </w:pPr>
      <w:r>
        <w:rPr>
          <w:rFonts w:ascii="Calibri" w:hAnsi="Calibri"/>
          <w:b w:val="0"/>
          <w:i w:val="0"/>
          <w:color w:val="666666"/>
          <w:sz w:val="15"/>
        </w:rPr>
        <w:t>Wharton MBA Career Management, “General Resume Guidelines”: Project–Action–Result / X→Y and quantified outcomes. https://students.mbacareers.wharton.upenn.edu/wp-content/uploads/2014/11/GeneralResumeGuidelines.pdf</w:t>
      </w:r>
    </w:p>
    <w:p>
      <w:pPr>
        <w:spacing w:after="60"/>
      </w:pPr>
      <w:r>
        <w:rPr>
          <w:rFonts w:ascii="Calibri" w:hAnsi="Calibri"/>
          <w:b w:val="0"/>
          <w:i w:val="0"/>
          <w:color w:val="666666"/>
          <w:sz w:val="15"/>
        </w:rPr>
        <w:t>Amazon, Senior Product Manager roles: customer needs, roadmap ownership, experiments, KPIs, technical trade-offs, launches, and cross-functional influence. https://www.amazon.jobs/jobs/10433374</w:t>
      </w:r>
    </w:p>
    <w:p>
      <w:pPr>
        <w:spacing w:after="60"/>
      </w:pPr>
      <w:r>
        <w:rPr>
          <w:rFonts w:ascii="Calibri" w:hAnsi="Calibri"/>
          <w:b w:val="0"/>
          <w:i w:val="0"/>
          <w:color w:val="666666"/>
          <w:sz w:val="15"/>
        </w:rPr>
        <w:t>Amazon, Senior Product Marketing Manager, IMDb: customer insight, scalable GTM, engagement metrics, executive narratives, lifecycle marketing, and influence. https://www.amazon.jobs/en/jobs/10417957/sr-product-marketing-manager-imdb-imdb</w:t>
      </w:r>
    </w:p>
    <w:p>
      <w:pPr>
        <w:spacing w:after="60"/>
      </w:pPr>
      <w:r>
        <w:rPr>
          <w:rFonts w:ascii="Calibri" w:hAnsi="Calibri"/>
          <w:b w:val="0"/>
          <w:i w:val="0"/>
          <w:color w:val="666666"/>
          <w:sz w:val="15"/>
        </w:rPr>
        <w:t>J.P. Morgan, Investment Banking Associate Internship: financial analysis, research, pitches, origination, and transaction execution. https://careers.jpmorgan.com/global/en/students/programs/investment-banking-summer-associate</w:t>
      </w:r>
    </w:p>
    <w:p>
      <w:pPr>
        <w:spacing w:after="60"/>
      </w:pPr>
      <w:r>
        <w:rPr>
          <w:rFonts w:ascii="Calibri" w:hAnsi="Calibri"/>
          <w:b w:val="0"/>
          <w:i w:val="0"/>
          <w:color w:val="666666"/>
          <w:sz w:val="15"/>
        </w:rPr>
        <w:t>Amazon, Finance Manager: forecasting, budgeting, variance analysis, monthly close, reporting, audit queries, controls, and investment ROI. https://amazon.jobs/en-gb/jobs/3009375/finance-manager-amzl-south-india-amzl-finance</w:t>
      </w:r>
    </w:p>
    <w:p>
      <w:pPr>
        <w:spacing w:after="60"/>
      </w:pPr>
      <w:r>
        <w:rPr>
          <w:rFonts w:ascii="Calibri" w:hAnsi="Calibri"/>
          <w:b w:val="0"/>
          <w:i w:val="0"/>
          <w:color w:val="666666"/>
          <w:sz w:val="15"/>
        </w:rPr>
        <w:t>McKinsey MBA careers: workstream ownership, root issues, creative solutions, implementation, capability building, and lasting impact. https://www.mckinsey.com/careers/students/mba-degree</w:t>
      </w:r>
    </w:p>
    <w:p>
      <w:pPr>
        <w:spacing w:after="60"/>
      </w:pPr>
      <w:r>
        <w:rPr>
          <w:rFonts w:ascii="Calibri" w:hAnsi="Calibri"/>
          <w:b w:val="0"/>
          <w:i w:val="0"/>
          <w:color w:val="666666"/>
          <w:sz w:val="15"/>
        </w:rPr>
        <w:t>Internal research corpus: all original Word and PDF documents in the Job Application folder; achievements were consolidated as themes and then expanded into explicitly hypothetical teaching cases.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4"/>
      </w:rPr>
      <w:t>M7 MBA Résumé Workshop | Critical revision | Hypothetical examples — validate individual scope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opBullet">
    <w:name w:val="Workshop Bullet"/>
    <w:basedOn w:val="ListBullet"/>
    <w:pPr>
      <w:spacing w:after="80" w:line="300" w:lineRule="auto"/>
      <w:ind w:left="540" w:hanging="271"/>
    </w:pPr>
    <w:rPr>
      <w:rFonts w:ascii="Calibri" w:hAnsi="Calibr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 Project, Four Credible Résumés — Critical Revision</dc:title>
  <dc:subject>M7 MBA resume customization audit and workshop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