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E74B5"/>
          <w:sz w:val="36"/>
        </w:rPr>
        <w:t>Same project. Four credible résumés.</w:t>
      </w:r>
    </w:p>
    <w:p>
      <w:pPr>
        <w:spacing w:after="160"/>
      </w:pPr>
      <w:r>
        <w:rPr>
          <w:rFonts w:ascii="Arial" w:hAnsi="Arial"/>
          <w:b w:val="0"/>
          <w:i/>
          <w:color w:val="1F4D78"/>
          <w:sz w:val="19"/>
        </w:rPr>
        <w:t>A hypothetical functional-customization exercise for M7 MBA résumé workshops</w:t>
      </w:r>
    </w:p>
    <w:p>
      <w:pPr>
        <w:spacing w:after="100"/>
      </w:pPr>
      <w:r>
        <w:rPr>
          <w:rFonts w:ascii="Arial" w:hAnsi="Arial"/>
          <w:b/>
          <w:i w:val="0"/>
          <w:color w:val="1F4D78"/>
          <w:sz w:val="18"/>
        </w:rPr>
        <w:t xml:space="preserve">Workshop premise. </w:t>
      </w:r>
      <w:r>
        <w:rPr>
          <w:rFonts w:ascii="Arial" w:hAnsi="Arial"/>
          <w:b w:val="0"/>
          <w:i w:val="0"/>
          <w:sz w:val="18"/>
        </w:rPr>
        <w:t>A résumé bullet changes because the candidate’s accountable work, analytical lens, deliverable, and target role change—not because the facts are rewritten. The project context and outcome stay fixed; each functional version makes a different contribution visible.</w:t>
      </w:r>
    </w:p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How to use this handout</w:t>
      </w:r>
    </w:p>
    <w:p>
      <w:pPr>
        <w:pStyle w:val="WorkshopBullet"/>
      </w:pPr>
      <w:r>
        <w:t>Read each project’s shared fact pattern first. Then compare the four columns: all are plausible profiles on the same project, but they are not interchangeable claims for one person.</w:t>
      </w:r>
    </w:p>
    <w:p>
      <w:pPr>
        <w:pStyle w:val="WorkshopBullet"/>
      </w:pPr>
      <w:r>
        <w:t>Circle the functional verb, the work product, and the metric in each bullet. Ask: “Would I be able to defend that exact scope in an interview?”</w:t>
      </w:r>
    </w:p>
    <w:p>
      <w:pPr>
        <w:pStyle w:val="WorkshopBullet"/>
      </w:pPr>
      <w:r>
        <w:t>Use this as an editing drill: keep the context and outcome; rewrite the middle of the bullet to show the role’s distinctive contribution.</w:t>
      </w:r>
    </w:p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The functional lens: what changes, what does not</w:t>
      </w:r>
    </w:p>
    <w:tbl>
      <w:tblPr>
        <w:tblW w:type="dxa" w:w="9250"/>
        <w:jc w:val="left"/>
        <w:tblLook w:firstColumn="1" w:firstRow="1" w:lastColumn="0" w:lastRow="0" w:noHBand="0" w:noVBand="1" w:val="04A0"/>
        <w:tblLayout w:type="fixed"/>
      </w:tblPr>
      <w:tblGrid>
        <w:gridCol w:w="2200"/>
        <w:gridCol w:w="2350"/>
        <w:gridCol w:w="2350"/>
        <w:gridCol w:w="235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  <w:vAlign w:val="center"/>
          </w:tcPr>
          <w:p>
            <w:r>
              <w:rPr>
                <w:rFonts w:ascii="Arial" w:hAnsi="Arial"/>
                <w:b/>
                <w:i w:val="0"/>
                <w:color w:val="1F4D78"/>
                <w:sz w:val="17"/>
              </w:rPr>
              <w:t>Sales &amp; marketing</w:t>
            </w:r>
          </w:p>
        </w:tc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  <w:vAlign w:val="center"/>
          </w:tcPr>
          <w:p>
            <w:r>
              <w:rPr>
                <w:rFonts w:ascii="Arial" w:hAnsi="Arial"/>
                <w:b/>
                <w:i w:val="0"/>
                <w:color w:val="1F4D78"/>
                <w:sz w:val="17"/>
              </w:rPr>
              <w:t>Finance &amp; accounting</w:t>
            </w:r>
          </w:p>
        </w:tc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  <w:vAlign w:val="center"/>
          </w:tcPr>
          <w:p>
            <w:r>
              <w:rPr>
                <w:rFonts w:ascii="Arial" w:hAnsi="Arial"/>
                <w:b/>
                <w:i w:val="0"/>
                <w:color w:val="1F4D78"/>
                <w:sz w:val="17"/>
              </w:rPr>
              <w:t>Product development</w:t>
            </w:r>
          </w:p>
        </w:tc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shd w:fill="DDEBF7"/>
            <w:vAlign w:val="center"/>
          </w:tcPr>
          <w:p>
            <w:r>
              <w:rPr>
                <w:rFonts w:ascii="Arial" w:hAnsi="Arial"/>
                <w:b/>
                <w:i w:val="0"/>
                <w:color w:val="1F4D78"/>
                <w:sz w:val="17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220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4D78"/>
                <w:sz w:val="16"/>
              </w:rPr>
              <w:t>Customer / market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Who is the buyer? Which segment, message, channel, relationship, or commercial motion changed?</w:t>
            </w:r>
          </w:p>
        </w:tc>
        <w:tc>
          <w:tcPr>
            <w:tcW w:type="dxa" w:w="235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4D78"/>
                <w:sz w:val="16"/>
              </w:rPr>
              <w:t>Capital / economics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What was underwritten, valued, forecast, priced, funded, sourced, or allocated? What financial decision improved?</w:t>
            </w:r>
          </w:p>
        </w:tc>
        <w:tc>
          <w:tcPr>
            <w:tcW w:type="dxa" w:w="235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4D78"/>
                <w:sz w:val="16"/>
              </w:rPr>
              <w:t>User / product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What unmet need, data workflow, product decision, roadmap, experiment, or adoption behavior changed?</w:t>
            </w:r>
          </w:p>
        </w:tc>
        <w:tc>
          <w:tcPr>
            <w:tcW w:type="dxa" w:w="2350"/>
            <w:shd w:fill="F4F8F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4D78"/>
                <w:sz w:val="16"/>
              </w:rPr>
              <w:t>Enterprise / decision</w:t>
            </w:r>
          </w:p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What ambiguity was structured? Which stakeholders aligned? What decision, operating cadence, or implementation moved?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Build a defensible functional bullet</w:t>
      </w:r>
    </w:p>
    <w:p>
      <w:pPr>
        <w:pStyle w:val="WorkshopBullet"/>
      </w:pPr>
      <w:r>
        <w:t>Invariant context: name the business situation and target outcome in language any function could recognize.</w:t>
      </w:r>
    </w:p>
    <w:p>
      <w:pPr>
        <w:pStyle w:val="WorkshopBullet"/>
      </w:pPr>
      <w:r>
        <w:t>Functional action: choose the verb that proves the role-specific work—e.g., sourced / underwrote / modeled for finance; segmented / positioned / activated for sales; discovered / designed / shipped for product; structured / aligned / mobilized for CoS or consulting.</w:t>
      </w:r>
    </w:p>
    <w:p>
      <w:pPr>
        <w:pStyle w:val="WorkshopBullet"/>
      </w:pPr>
      <w:r>
        <w:t>Work product: state the tangible output—model, investment memo, target list, pricing architecture, experiment, workflow, decision memo, or operating cadence.</w:t>
      </w:r>
    </w:p>
    <w:p>
      <w:pPr>
        <w:pStyle w:val="WorkshopBullet"/>
      </w:pPr>
      <w:r>
        <w:t>Outcome: retain the shared result, but never imply that one function alone caused a cross-functional outcome.</w:t>
      </w:r>
    </w:p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Side-by-side customization matrix</w:t>
      </w:r>
    </w:p>
    <w:p>
      <w:pPr>
        <w:spacing w:after="100"/>
      </w:pPr>
      <w:r>
        <w:rPr>
          <w:rFonts w:ascii="Arial" w:hAnsi="Arial"/>
          <w:b/>
          <w:i w:val="0"/>
          <w:color w:val="1F4D78"/>
          <w:sz w:val="16"/>
        </w:rPr>
        <w:t xml:space="preserve">All project names, details, and figures below are hypothetical teaching cases. </w:t>
      </w:r>
      <w:r>
        <w:rPr>
          <w:rFonts w:ascii="Arial" w:hAnsi="Arial"/>
          <w:b w:val="0"/>
          <w:i w:val="0"/>
          <w:sz w:val="16"/>
        </w:rPr>
        <w:t>They are informed by recurring themes in the application folder (M&amp;A marketplace, AIF marketplace, fintech PMF, AI win-back, and international growth), but are intentionally anonymized and expanded for instruction.</w:t>
      </w:r>
    </w:p>
    <w:tbl>
      <w:tblPr>
        <w:tblW w:type="dxa" w:w="9700"/>
        <w:jc w:val="left"/>
        <w:tblLook w:firstColumn="1" w:firstRow="1" w:lastColumn="0" w:lastRow="0" w:noHBand="0" w:noVBand="1" w:val="04A0"/>
        <w:tblLayout w:type="fixed"/>
      </w:tblPr>
      <w:tblGrid>
        <w:gridCol w:w="1500"/>
        <w:gridCol w:w="2050"/>
        <w:gridCol w:w="2050"/>
        <w:gridCol w:w="2050"/>
        <w:gridCol w:w="205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Shared project fact pattern</w:t>
            </w:r>
          </w:p>
        </w:tc>
        <w:tc>
          <w:tcPr>
            <w:tcW w:type="dxa" w:w="2050"/>
            <w:tcMar>
              <w:top w:w="80" w:type="dxa"/>
              <w:start w:w="100" w:type="dxa"/>
              <w:bottom w:w="80" w:type="dxa"/>
              <w:end w:w="100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Sales &amp; marketing framing</w:t>
            </w:r>
          </w:p>
        </w:tc>
        <w:tc>
          <w:tcPr>
            <w:tcW w:type="dxa" w:w="2050"/>
            <w:tcMar>
              <w:top w:w="80" w:type="dxa"/>
              <w:start w:w="100" w:type="dxa"/>
              <w:bottom w:w="80" w:type="dxa"/>
              <w:end w:w="100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Finance &amp; accounting framing</w:t>
            </w:r>
          </w:p>
        </w:tc>
        <w:tc>
          <w:tcPr>
            <w:tcW w:type="dxa" w:w="2050"/>
            <w:tcMar>
              <w:top w:w="80" w:type="dxa"/>
              <w:start w:w="100" w:type="dxa"/>
              <w:bottom w:w="80" w:type="dxa"/>
              <w:end w:w="100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 development framing</w:t>
            </w:r>
          </w:p>
        </w:tc>
        <w:tc>
          <w:tcPr>
            <w:tcW w:type="dxa" w:w="2050"/>
            <w:tcMar>
              <w:top w:w="80" w:type="dxa"/>
              <w:start w:w="100" w:type="dxa"/>
              <w:bottom w:w="80" w:type="dxa"/>
              <w:end w:w="100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Chief of staff / consulting framing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1. Lower-middle-market M&amp;A marketplace</w:t>
              <w:br/>
              <w:br/>
              <w:t>A 12-person marketplace faced volatile success-fee revenue, weak buyer confidence, co-founder exits, and stalled fundraising. Team launched a subscription “extended CFO” offer: pre-vetted sell-side profiles plus buyer evaluation support.</w:t>
              <w:br/>
              <w:br/>
              <w:t>Shared outcome: $600K ARR run-rate, 6x deal value to $30K, 40% shorter sales cycle, 500+ CFO hours saved, $10M Series A.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Segmented family-owned business sellers and PE-backed buyers; repositioned the marketplace around an “extended CFO” value proposition and built an outbound partner playbook that reduced sales cycle 40% and increased deal value 6x to $30K.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Sourced 50 off-market targets using public-company and lending-data signals; normalized SDE and built LBO, debt-capacity, and IRR-sensitivity models that supported a $600K ARR subscription thesis and $10M Series A diligence.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Translated buyer diligence pain points into a pre-vetted sell-side profile and evaluation workflow; prioritized data-quality, matching, and diligence features that saved CFO users 500+ hours annually and improved paid conversion.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Structured a turnaround for an M&amp;A marketplace facing executive turnover: aligned founders on revenue diagnosis, subscription economics, investor narrative, and operating cadence; enabled $600K ARR run-rate and Series A close.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2. AIF distribution marketplace</w:t>
              <w:br/>
              <w:br/>
              <w:t>A wealth-tech venture’s initial GTM stalled because banks feared client poaching and fund managers lacked a common way to compare alternatives. Team designed a governed marketplace connecting private banks, AMCs, and HNI investors.</w:t>
              <w:br/>
              <w:br/>
              <w:t>Shared outcome: 3 high-LTV bank MOUs; $10M follow-on funding; a decision workflow used to compare AIF/PMF offerings.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Built an institutional-adoption narrative for private banks and AMCs, positioning the marketplace as a neutral, governed distribution channel; converted discovery with 7 fund houses into 3 bank MOUs and a differentiated HNI acquisition motion.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Built the investment-decision layer for an AIF marketplace: standardized cash-flow assumptions and modeled IRR, MOIC, TVPI, fees, liquidity, and scenario sensitivities across PMF offerings; investment case supported 3 bank MOUs and $10M funding.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Converted fund-manager and banker interviews into an AIF decision workflow: designed data ingestion, eligibility rules, and agentic comparison views that surfaced risk-return trade-offs across IRR/MOIC/TVPI rather than merely listing products.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Led cross-ecosystem alignment among fund houses, banks, and founders; resolved client-ownership conflict through governance principles, sequenced a pilot, and translated research into an investable marketplace strategy that secured 3 bank MOUs.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3. VC-backed fintech PMF pivot</w:t>
              <w:br/>
              <w:br/>
              <w:t>A consumer-fintech founder had committed capital to a feature-heavy roadmap, but early signals indicated the target segment would not adopt. Cross-functional team tested a narrower problem, reprioritized the backlog, and launched in three months rather than six.</w:t>
              <w:br/>
              <w:br/>
              <w:t>Shared outcome: launch cycle cut 50%; capital redirected to validated use cases.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Identified a higher-intent customer segment through competitive mapping and message tests; rewrote the value proposition and launch narrative around the validated job-to-be-done, accelerating market entry from six to three months.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Quantified the capital-efficiency trade-off between a feature-heavy roadmap and staged launch; modeled CAC, activation, conversion, retention, and cash runway scenarios that supported redirecting committed funds to the validated PMF wedge.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Led discovery for a fintech PMF pivot using user interviews, competitor teardown, A/B tests, and beta telemetry; cut the roadmap to high-signal workflows and launched an MVP in three months instead of six.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Prepared the CEO decision case for a VC-backed roadmap reset: synthesized customer evidence, unit economics, delivery risk, and stakeholder concerns into a phased operating plan that halved launch time and protected runway.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4. Enterprise AI win-back</w:t>
              <w:br/>
              <w:br/>
              <w:t>A digital-forensics company lost enterprise accounts to AI-first competitors. Team built a secure assistant that made multimedia search, anomaly detection, and case summarization accessible to non-technical investigators.</w:t>
              <w:br/>
              <w:br/>
              <w:t>Shared outcome: 6 of 8 enterprise clients won back; client LTV increased 18%.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Built a win-back narrative for enterprise buyers who had switched to AI-first competitors; translated technical capability into investigator productivity and risk-reduction proof points, recovering 6 of 8 churned accounts and lifting LTV 18%.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Modeled the economics of churn versus product investment by estimating account-level LTV, renewal probability, implementation cost, and expansion potential; prioritized the AI assistant based on a win-back case that improved client LTV 18%.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Defined and shipped an investigator-facing AI assistant with object search, anomaly alerts, and multimedia summarization; reduced non-technical workflow friction and helped recover 6 of 8 churned enterprise clients.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C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Ran an executive win-back workstream across sales, product, and customer success: triaged churn reasons, set weekly renewal milestones, and aligned leadership on enterprise recovery priorities; regained 6 of 8 accounts.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5. Global executive-development expansion</w:t>
              <w:br/>
              <w:br/>
              <w:t>A leadership-simulation business sought international scale without diluting relevance. A cross-functional team recruited trainer partners, localized programs, and created data-feedback loops for enterprise clients.</w:t>
              <w:br/>
              <w:br/>
              <w:t>Shared outcome: 40K learners in 7 countries; enterprise delivery for five global clients.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Built a partner-led international GTM model by recruiting trainers in seven countries, localizing positioning, and enabling account-based enterprise delivery; scaled programs to 40K learners while expanding distribution without a large direct-sales force.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Developed the partner-economics model for international expansion: set price floors, revenue-share terms, capacity assumptions, and client profitability thresholds; prioritized channels that could scale 40K learner reach with controlled delivery cost.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Designed a reusable simulation platform and feedback loop that allowed localized content, cohort analytics, and repeatable enterprise deployment; supported product adoption by 40K learners across seven countries.</w:t>
            </w:r>
          </w:p>
        </w:tc>
        <w:tc>
          <w:tcPr>
            <w:tcW w:type="dxa" w:w="2050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Set the operating model for international scale: aligned trainers, client stakeholders, and a distributed delivery team on roles, performance dashboards, and escalation paths; enabled repeatable execution across seven countries.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i w:val="0"/>
          <w:color w:val="2E74B5"/>
          <w:sz w:val="24"/>
        </w:rPr>
        <w:t>Workshop pause: rewrite one work bullet</w:t>
      </w:r>
    </w:p>
    <w:p>
      <w:pPr>
        <w:spacing w:after="40"/>
      </w:pPr>
      <w:r>
        <w:rPr>
          <w:rFonts w:ascii="Arial" w:hAnsi="Arial"/>
          <w:b w:val="0"/>
          <w:i/>
          <w:color w:val="1F4D78"/>
          <w:sz w:val="17"/>
        </w:rPr>
        <w:t>In pairs, choose one shared work fact pattern from rows 1–5. Draft a 45-word bullet for a fifth function (e.g., operations, corporate development, business development, or customer success) without changing the shared result.</w:t>
      </w:r>
    </w:p>
    <w:p>
      <w:pPr>
        <w:pStyle w:val="WorkshopBullet"/>
        <w:spacing w:after="20"/>
      </w:pPr>
      <w:r>
        <w:t>Underline the exact work product the candidate created.</w:t>
      </w:r>
    </w:p>
    <w:p>
      <w:pPr>
        <w:pStyle w:val="WorkshopBullet"/>
        <w:spacing w:after="20"/>
      </w:pPr>
      <w:r>
        <w:t>Circle the functional verb. Would a recruiter from that function recognize it as credible?</w:t>
      </w:r>
    </w:p>
    <w:p>
      <w:pPr>
        <w:pStyle w:val="WorkshopBullet"/>
        <w:spacing w:after="20"/>
      </w:pPr>
      <w:r>
        <w:t>Cross out any result the individual could not reasonably claim as their own.</w:t>
      </w:r>
    </w:p>
    <w:p>
      <w:pPr>
        <w:pageBreakBefore/>
        <w:spacing w:before="180" w:after="80"/>
      </w:pPr>
      <w:r>
        <w:rPr>
          <w:rFonts w:ascii="Arial" w:hAnsi="Arial"/>
          <w:b/>
          <w:i w:val="0"/>
          <w:color w:val="2E74B5"/>
          <w:sz w:val="24"/>
        </w:rPr>
        <w:t>Education and academic-project customization</w:t>
      </w:r>
    </w:p>
    <w:p>
      <w:pPr>
        <w:spacing w:after="80"/>
      </w:pPr>
      <w:r>
        <w:rPr>
          <w:rFonts w:ascii="Arial" w:hAnsi="Arial"/>
          <w:b w:val="0"/>
          <w:i/>
          <w:color w:val="666666"/>
          <w:sz w:val="16"/>
        </w:rPr>
        <w:t>Education should not be a second work-experience section. Use it to establish relevant training, applied judgment, selectivity, and the evidence of a project—then keep the claim proportionate to the student’s role.</w:t>
      </w:r>
    </w:p>
    <w:tbl>
      <w:tblPr>
        <w:tblW w:type="dxa" w:w="9700"/>
        <w:jc w:val="left"/>
        <w:tblLook w:firstColumn="1" w:firstRow="1" w:lastColumn="0" w:lastRow="0" w:noHBand="0" w:noVBand="1" w:val="04A0"/>
        <w:tblLayout w:type="fixed"/>
      </w:tblPr>
      <w:tblGrid>
        <w:gridCol w:w="1500"/>
        <w:gridCol w:w="2050"/>
        <w:gridCol w:w="2050"/>
        <w:gridCol w:w="2050"/>
        <w:gridCol w:w="205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Shared fact pattern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Sales &amp; marketing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Finance &amp; accounting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 development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6. MBA applied-finance practicum</w:t>
              <w:br/>
              <w:br/>
              <w:t>A student team evaluated a hypothetical AIF distribution opportunity for private-bank partners. The team compared fund economics, investor suitability, and launch requirements.</w:t>
              <w:br/>
              <w:br/>
              <w:t>Shared outcome: investment committee selected the pilot recommendation.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Applied Finance Practicum — translated investor research into a segment-specific value proposition and bank-partner launch narrative; recommendation selected for pilot review.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Applied Finance Practicum — built a comparable AIF model using cash flows, IRR, MOIC, TVPI, fees, liquidity, and downside sensitivities; investment committee selected the pilot recommendation.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Applied Finance Practicum — converted investor-suitability requirements into an AIF comparison workflow and prototype, clarifying trade-offs across return, risk, and liquidity.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Applied Finance Practicum — synthesized fund, bank, and investor inputs into an investment-committee decision memo; aligned the team on governance, pilot scope, and decision criteria.</w:t>
            </w:r>
          </w:p>
        </w:tc>
      </w:tr>
      <w:tr>
        <w:trPr>
          <w:cantSplit/>
        </w:trPr>
        <w:tc>
          <w:tcPr>
            <w:tcW w:type="dxa" w:w="150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7. Technical capstone</w:t>
              <w:br/>
              <w:br/>
              <w:t>A cross-disciplinary team built a document-digitization proof of concept for an asset-servicing workflow using computer vision and NLP.</w:t>
              <w:br/>
              <w:br/>
              <w:t>Shared outcome: simulated processing time reduced approximately 30%.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STEM MBA Capstone — framed the digitization concept around faster client onboarding and service quality; translated a 30% processing-time improvement into a buyer-facing value proposition.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STEM MBA Capstone — estimated the business case for automation by modeling processing capacity, labor cost, error exposure, and payback; analysis supported a 30% cycle-time improvement hypothesis.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STEM MBA Capstone — defined and tested a CV/NLP digitization workflow; converted manual records into structured data and reduced simulated processing time approximately 30%.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STEM MBA Capstone — coordinated business and technical workstreams, turned stakeholder requirements into a decision-ready prototype plan, and clarified the operating implications of a 30% cycle-time reduction.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8. MBA competition / leadership lab</w:t>
              <w:br/>
              <w:br/>
              <w:t>A selective student team developed a strategy for a B2B technology venture under time constraints, presenting to judges and industry practitioners.</w:t>
              <w:br/>
              <w:br/>
              <w:t>Shared outcome: team reached finalist round and received practitioner feedback.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Strategy Competition — developed the B2B buyer segmentation, positioning, and channel hypothesis; finalist team presented a commercial narrative tested with industry practitioners.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Strategy Competition — assessed market attractiveness, unit economics, and funding requirements; finalist team presented a prioritized investment case and downside risks to practitioners.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Strategy Competition — prioritized user needs, MVP scope, and adoption metrics for a B2B technology concept; finalist team defended the product roadmap to practitioners.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MBA Strategy Competition — structured an ambiguous market-entry problem, aligned a cross-functional student team, and delivered a decision-oriented recommendation under a compressed timeline.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i w:val="0"/>
          <w:color w:val="2E74B5"/>
          <w:sz w:val="24"/>
        </w:rPr>
        <w:t>Leadership, extracurriculars, and skills customization</w:t>
      </w:r>
    </w:p>
    <w:p>
      <w:pPr>
        <w:spacing w:after="80"/>
      </w:pPr>
      <w:r>
        <w:rPr>
          <w:rFonts w:ascii="Arial" w:hAnsi="Arial"/>
          <w:b w:val="0"/>
          <w:i/>
          <w:color w:val="666666"/>
          <w:sz w:val="16"/>
        </w:rPr>
        <w:t>“Other” is not filler. It can add an independent signal of leadership, market credibility, analytical fluency, product craft, or stakeholder influence that the work section cannot efficiently convey. Skills should be a compact evidence index—not a keyword dump.</w:t>
      </w:r>
    </w:p>
    <w:tbl>
      <w:tblPr>
        <w:tblW w:type="dxa" w:w="9700"/>
        <w:jc w:val="left"/>
        <w:tblLook w:firstColumn="1" w:firstRow="1" w:lastColumn="0" w:lastRow="0" w:noHBand="0" w:noVBand="1" w:val="04A0"/>
        <w:tblLayout w:type="fixed"/>
      </w:tblPr>
      <w:tblGrid>
        <w:gridCol w:w="1500"/>
        <w:gridCol w:w="2050"/>
        <w:gridCol w:w="2050"/>
        <w:gridCol w:w="2050"/>
        <w:gridCol w:w="205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Shared fact pattern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Sales &amp; marketing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Finance &amp; accounting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 development</w:t>
            </w:r>
          </w:p>
        </w:tc>
        <w:tc>
          <w:tcPr>
            <w:tcW w:type="dxa" w:w="2050"/>
            <w:tcMar>
              <w:top w:w="80" w:type="dxa"/>
              <w:start w:w="95" w:type="dxa"/>
              <w:bottom w:w="80" w:type="dxa"/>
              <w:end w:w="95" w:type="dxa"/>
            </w:tcMar>
            <w:shd w:fill="2E74B5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Chief of staff / consulting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9. Community technology initiative</w:t>
              <w:br/>
              <w:br/>
              <w:t>A volunteer-led initiative partnered with schools and NGOs to deliver AI and robotics workshops for under-resourced students across multiple institutions.</w:t>
              <w:br/>
              <w:br/>
              <w:t>Shared outcome: 10K learners reached; 22 volunteers mobilized.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Founder, Community Technology Initiative — built school/NGO partnerships and localized outreach to reach 10K learners; translated an education mission into a repeatable community-adoption model.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Founder, Community Technology Initiative — set a resource plan and partner model for a volunteer program reaching 10K learners; show budget, grant, or unit-cost analysis only if personally owned.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Founder, Community Technology Initiative — designed hands-on AI/robotics learning experiences and feedback loops, iterating curriculum across 30+ institutions to improve learner engagement.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Founder, Community Technology Initiative — mobilized 22 volunteers and aligned schools, NGOs, and local partners around delivery standards; scaled access to AI/robotics workshops for 10K learners.</w:t>
            </w:r>
          </w:p>
        </w:tc>
      </w:tr>
      <w:tr>
        <w:trPr>
          <w:cantSplit/>
        </w:trPr>
        <w:tc>
          <w:tcPr>
            <w:tcW w:type="dxa" w:w="150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10. Global thought leadership</w:t>
              <w:br/>
              <w:br/>
              <w:t>A professional presented data-driven simulation work at conferences across multiple countries and convened peer conversations with international practitioners.</w:t>
              <w:br/>
              <w:br/>
              <w:t>Shared outcome: invited talks and practitioner relationships across four markets.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Selected Speaker — positioned an emerging methodology for international practitioner audiences, using conference sessions to build category credibility and partner relationships across four markets.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Selected Speaker — presented decision-simulation applications in terms of resource allocation, scenario trade-offs, and business performance; use only if the presentation genuinely focused on economics.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Selected Speaker — demonstrated productized simulation and analytics workflows to practitioner audiences, gathering user feedback that informed future product iterations.</w:t>
            </w:r>
          </w:p>
        </w:tc>
        <w:tc>
          <w:tcPr>
            <w:tcW w:type="dxa" w:w="2050"/>
            <w:shd w:fill="F4F8FC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Selected Speaker — convened cross-border practitioner dialogue on data-driven decision making, translating complex methods into executive-ready recommendations across four markets.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11. Skills line (not a bullet)</w:t>
              <w:br/>
              <w:br/>
              <w:t>A candidate has used analytical, commercial, design, and leadership tools across academic and project settings.</w:t>
              <w:br/>
              <w:br/>
              <w:t>Shared constraint: list only tools the candidate can explain with a specific applied example.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Skills: Go-to-market strategy, customer segmentation, value proposition design, channel partnerships, CRM/marketing analytics; Excel, SQL.</w:t>
              <w:br/>
              <w:br/>
              <w:t>Pair with a commercial project bullet—never claim tool proficiency in isolation.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Skills: Financial modeling, three-statement analysis, LBO/DCF, scenario and sensitivity analysis, Excel, SQL; Capital IQ / PitchBook only if actually used.</w:t>
              <w:br/>
              <w:br/>
              <w:t>Pair with a transaction or investment-decision example.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Skills: Product discovery, user research, roadmap prioritization, experimentation, SQL, Python, Figma, Mixpanel/Amplitude, API design.</w:t>
              <w:br/>
              <w:br/>
              <w:t>Pair with one shipped workflow or adoption outcome.</w:t>
            </w:r>
          </w:p>
        </w:tc>
        <w:tc>
          <w:tcPr>
            <w:tcW w:type="dxa" w:w="205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Skills: Strategic planning, stakeholder mapping, operating cadence, executive communication, program management, Excel, SQL.</w:t>
              <w:br/>
              <w:br/>
              <w:t>Pair with a decision, alignment, or implementation example.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i w:val="0"/>
          <w:color w:val="2E74B5"/>
          <w:sz w:val="24"/>
        </w:rPr>
        <w:t>Section placement guide for students</w:t>
      </w:r>
    </w:p>
    <w:p>
      <w:pPr>
        <w:spacing w:after="80"/>
      </w:pPr>
      <w:r>
        <w:rPr>
          <w:rFonts w:ascii="Arial" w:hAnsi="Arial"/>
          <w:b w:val="0"/>
          <w:i/>
          <w:color w:val="666666"/>
          <w:sz w:val="16"/>
        </w:rPr>
        <w:t>Work experience: select 3–5 role-relevant bullets in reverse-chronological roles. Education: use 1–2 proof points only when they add a role-specific signal. Leadership/Other: select 1–3 distinct signals that do not duplicate work. Skills: 8–12 targeted terms, each defensible by an applied example.</w:t>
      </w:r>
    </w:p>
    <w:p>
      <w:pPr>
        <w:pageBreakBefore/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Debrief: the finance column is not “sales with numbers”</w:t>
      </w:r>
    </w:p>
    <w:p>
      <w:pPr>
        <w:pStyle w:val="WorkshopBullet"/>
      </w:pPr>
      <w:r>
        <w:t>Sales framing owns demand creation or commercial motion: buyer segment, channel, message, pipeline, close, renewal, or revenue growth.</w:t>
      </w:r>
    </w:p>
    <w:p>
      <w:pPr>
        <w:pStyle w:val="WorkshopBullet"/>
      </w:pPr>
      <w:r>
        <w:t>Finance framing owns the investment or economic decision: target sourcing, underwriting, valuation, scenario analysis, pricing, capital allocation, funding, reporting, or risk. For M&amp;A, deal originations, SDE normalization, LBO/debt-capacity work, and IRR sensitivities belong here only if personally performed.</w:t>
      </w:r>
    </w:p>
    <w:p>
      <w:pPr>
        <w:pStyle w:val="WorkshopBullet"/>
      </w:pPr>
      <w:r>
        <w:t>AIF/PMF language becomes finance-relevant when it shows the investment-modeling work—e.g., standardized cash flows, return metrics, fee and liquidity assumptions, risk sensitivities, portfolio fit—not merely a technical marketplace build.</w:t>
      </w:r>
    </w:p>
    <w:p>
      <w:pPr>
        <w:pStyle w:val="WorkshopBullet"/>
      </w:pPr>
      <w:r>
        <w:t>Product framing owns user problem, product decision, workflow, experiment, delivery, and adoption. Consulting/CoS framing owns the enterprise decision and implementation: diagnosis, alignment, governance, cadence, and measurable change.</w:t>
      </w:r>
    </w:p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Facilitator prompts</w:t>
      </w:r>
    </w:p>
    <w:p>
      <w:pPr>
        <w:pStyle w:val="WorkshopBullet"/>
      </w:pPr>
      <w:r>
        <w:t>Which nouns prove the candidate did the work, rather than observed it? Which verbs are unsupported by the fact pattern?</w:t>
      </w:r>
    </w:p>
    <w:p>
      <w:pPr>
        <w:pStyle w:val="WorkshopBullet"/>
      </w:pPr>
      <w:r>
        <w:t>Choose one student project. Write the invariant fact pattern in 35 words; then write four 45-word bullets using the four lenses.</w:t>
      </w:r>
    </w:p>
    <w:p>
      <w:pPr>
        <w:pStyle w:val="WorkshopBullet"/>
      </w:pPr>
      <w:r>
        <w:t>Delete one inflated term from each bullet. What evidence would make the surviving claim interview-defensible?</w:t>
      </w:r>
    </w:p>
    <w:p>
      <w:pPr>
        <w:spacing w:before="160" w:after="80"/>
      </w:pPr>
      <w:r>
        <w:rPr>
          <w:rFonts w:ascii="Arial" w:hAnsi="Arial"/>
          <w:b/>
          <w:i w:val="0"/>
          <w:color w:val="2E74B5"/>
          <w:sz w:val="24"/>
        </w:rPr>
        <w:t>Research basis</w:t>
      </w:r>
    </w:p>
    <w:p>
      <w:pPr>
        <w:spacing w:after="0"/>
      </w:pPr>
      <w:r>
        <w:rPr>
          <w:rFonts w:ascii="Arial" w:hAnsi="Arial"/>
          <w:b w:val="0"/>
          <w:i w:val="0"/>
          <w:color w:val="666666"/>
          <w:sz w:val="15"/>
        </w:rPr>
        <w:t>Résumé principles: Harvard FAS, “GSAS Master’s Resume &amp; Cover Letter” (tailoring; one-page MBA norm); Wharton MBA Career Management, “General Resume Guidelines” (Project–Action–Result / X→Y); University of Michigan Career Center, “Resume Resources” (Action Verb + What + How/Why/Impact). Functional lenses: O*NET OnLine, Marketing Managers, Financial Managers, and Management Analysts. Full URLs are included in the prior pointer bank; workshop examples are intentionally hypothetical.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M7 MBA Résumé Workshop | Hypothetical examples only — functional tailoring, not fact inflation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opBullet">
    <w:name w:val="Workshop Bullet"/>
    <w:basedOn w:val="ListBullet"/>
    <w:pPr>
      <w:spacing w:after="40" w:line="250" w:lineRule="auto"/>
      <w:ind w:left="360" w:hanging="216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 Project, Four Credible Resumes</dc:title>
  <dc:subject>Hypothetical M7 MBA resume customization workshop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