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/>
          <w:b/>
          <w:color w:val="184E77"/>
          <w:sz w:val="40"/>
        </w:rPr>
        <w:t>VALUE-DRIVEN M7 MBA RÉSUMÉS</w:t>
      </w:r>
    </w:p>
    <w:p>
      <w:pPr>
        <w:spacing w:after="160"/>
        <w:jc w:val="center"/>
      </w:pPr>
      <w:r>
        <w:rPr>
          <w:rFonts w:ascii="Aptos" w:hAnsi="Aptos"/>
          <w:i/>
          <w:color w:val="5D6873"/>
          <w:sz w:val="21"/>
        </w:rPr>
        <w:t>What each function rewards—and how a résumé makes the ‘why’ implicit</w:t>
      </w:r>
    </w:p>
    <w:p>
      <w:pPr>
        <w:spacing w:after="120"/>
      </w:pPr>
      <w:r>
        <w:rPr>
          <w:rFonts w:ascii="Aptos" w:hAnsi="Aptos"/>
          <w:b/>
          <w:color w:val="184E77"/>
          <w:sz w:val="18"/>
        </w:rPr>
        <w:t xml:space="preserve">Principle. </w:t>
      </w:r>
      <w:r>
        <w:rPr>
          <w:rFonts w:ascii="Aptos" w:hAnsi="Aptos"/>
          <w:color w:val="18222B"/>
          <w:sz w:val="18"/>
        </w:rPr>
        <w:t>A value-driven bullet is not a values claim. It reveals a tension, a choice that reflects judgment, a concrete work product or mechanism, and an impact. Across the résumé, those choices should evolve from learning the craft to owning larger consequences.</w:t>
      </w:r>
    </w:p>
    <w:p>
      <w:pPr>
        <w:keepNext/>
        <w:spacing w:before="60" w:after="60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24"/>
        </w:rPr>
        <w:t>Sales &amp; Marketing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Values rewarded: </w:t>
      </w:r>
      <w:r>
        <w:rPr>
          <w:rFonts w:ascii="Aptos" w:hAnsi="Aptos"/>
          <w:color w:val="18222B"/>
          <w:sz w:val="17"/>
        </w:rPr>
        <w:t>Customer curiosity · commercial ownership · trust · influence · experimentation · resilience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Résumé proof: </w:t>
      </w:r>
      <w:r>
        <w:rPr>
          <w:rFonts w:ascii="Aptos" w:hAnsi="Aptos"/>
          <w:color w:val="18222B"/>
          <w:sz w:val="17"/>
        </w:rPr>
        <w:t>Shows the customer tension, the commercial mechanism, and a downstream revenue or engagement result—not merely ‘built relationships.’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Evolution story: </w:t>
      </w:r>
      <w:r>
        <w:rPr>
          <w:rFonts w:ascii="Aptos" w:hAnsi="Aptos"/>
          <w:color w:val="18222B"/>
          <w:sz w:val="17"/>
        </w:rPr>
        <w:t>Frontline insight → repeatable selling/marketing mechanism → ecosystem or category leadership.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Impact evidence: </w:t>
      </w:r>
      <w:r>
        <w:rPr>
          <w:rFonts w:ascii="Aptos" w:hAnsi="Aptos"/>
          <w:color w:val="18222B"/>
          <w:sz w:val="17"/>
        </w:rPr>
        <w:t>Pipeline conversion, win rate, sales cycle, deal size, activation, retention, ARPU, partner productivity, customer lifetime value.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Watch-out: </w:t>
      </w:r>
      <w:r>
        <w:rPr>
          <w:rFonts w:ascii="Aptos" w:hAnsi="Aptos"/>
          <w:color w:val="18222B"/>
          <w:sz w:val="17"/>
        </w:rPr>
        <w:t>Avoid blending marketing strategy, partnerships, and direct sales without naming the lane or showing owned funnel stages.</w:t>
      </w:r>
    </w:p>
    <w:p>
      <w:pPr>
        <w:keepNext/>
        <w:spacing w:before="140" w:after="60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24"/>
        </w:rPr>
        <w:t>Finance &amp; Accounting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Values rewarded: </w:t>
      </w:r>
      <w:r>
        <w:rPr>
          <w:rFonts w:ascii="Aptos" w:hAnsi="Aptos"/>
          <w:color w:val="18222B"/>
          <w:sz w:val="17"/>
        </w:rPr>
        <w:t>Integrity · analytical rigor · stewardship · judgment · precision · client/decision usefulness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Résumé proof: </w:t>
      </w:r>
      <w:r>
        <w:rPr>
          <w:rFonts w:ascii="Aptos" w:hAnsi="Aptos"/>
          <w:color w:val="18222B"/>
          <w:sz w:val="17"/>
        </w:rPr>
        <w:t>Shows what uncertainty the model or control resolved, which decision changed, and how value or risk moved.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Evolution story: </w:t>
      </w:r>
      <w:r>
        <w:rPr>
          <w:rFonts w:ascii="Aptos" w:hAnsi="Aptos"/>
          <w:color w:val="18222B"/>
          <w:sz w:val="17"/>
        </w:rPr>
        <w:t>Reliable numbers → operating insight → capital allocation and strategic-advisor judgment.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Impact evidence: </w:t>
      </w:r>
      <w:r>
        <w:rPr>
          <w:rFonts w:ascii="Aptos" w:hAnsi="Aptos"/>
          <w:color w:val="18222B"/>
          <w:sz w:val="17"/>
        </w:rPr>
        <w:t>Margin, cash conversion, forecast accuracy, variance, return/payback, working capital, valuation range, deal pipeline, control exceptions.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Watch-out: </w:t>
      </w:r>
      <w:r>
        <w:rPr>
          <w:rFonts w:ascii="Aptos" w:hAnsi="Aptos"/>
          <w:color w:val="18222B"/>
          <w:sz w:val="17"/>
        </w:rPr>
        <w:t>Choose a lane. Strategic finance/corporate development, investment banking, FP&amp;A, and controllership should not share an undifferentiated résumé.</w:t>
      </w:r>
    </w:p>
    <w:p>
      <w:pPr>
        <w:keepNext/>
        <w:spacing w:before="140" w:after="60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24"/>
        </w:rPr>
        <w:t>Product Development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Values rewarded: </w:t>
      </w:r>
      <w:r>
        <w:rPr>
          <w:rFonts w:ascii="Aptos" w:hAnsi="Aptos"/>
          <w:color w:val="18222B"/>
          <w:sz w:val="17"/>
        </w:rPr>
        <w:t>Customer obsession · prioritization courage · ownership · experimentation · technical judgment · quality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Résumé proof: </w:t>
      </w:r>
      <w:r>
        <w:rPr>
          <w:rFonts w:ascii="Aptos" w:hAnsi="Aptos"/>
          <w:color w:val="18222B"/>
          <w:sz w:val="17"/>
        </w:rPr>
        <w:t>Makes the trade-off visible: what evidence changed the roadmap, what was not built, what shipped, and how behavior or economics changed.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Evolution story: </w:t>
      </w:r>
      <w:r>
        <w:rPr>
          <w:rFonts w:ascii="Aptos" w:hAnsi="Aptos"/>
          <w:color w:val="18222B"/>
          <w:sz w:val="17"/>
        </w:rPr>
        <w:t>Workflow empathy → PMF and prioritization discipline → end-to-end ownership at scale.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Impact evidence: </w:t>
      </w:r>
      <w:r>
        <w:rPr>
          <w:rFonts w:ascii="Aptos" w:hAnsi="Aptos"/>
          <w:color w:val="18222B"/>
          <w:sz w:val="17"/>
        </w:rPr>
        <w:t>Activation, adoption, retention, task success, time-to-value, experiment lift, latency/quality, defect rate, revenue or cost-to-serve.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Watch-out: </w:t>
      </w:r>
      <w:r>
        <w:rPr>
          <w:rFonts w:ascii="Aptos" w:hAnsi="Aptos"/>
          <w:color w:val="18222B"/>
          <w:sz w:val="17"/>
        </w:rPr>
        <w:t>‘Designed a platform’ is weak without discovery evidence, decision rights, shipped scope, telemetry, and a post-launch outcome.</w:t>
      </w:r>
    </w:p>
    <w:p>
      <w:pPr>
        <w:keepNext/>
        <w:spacing w:before="140" w:after="60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24"/>
        </w:rPr>
        <w:t>Chief of Staff / Consulting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Values rewarded: </w:t>
      </w:r>
      <w:r>
        <w:rPr>
          <w:rFonts w:ascii="Aptos" w:hAnsi="Aptos"/>
          <w:color w:val="18222B"/>
          <w:sz w:val="17"/>
        </w:rPr>
        <w:t>Structured problem solving · synthesis · trust · influence without authority · implementation · capability building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Résumé proof: </w:t>
      </w:r>
      <w:r>
        <w:rPr>
          <w:rFonts w:ascii="Aptos" w:hAnsi="Aptos"/>
          <w:color w:val="18222B"/>
          <w:sz w:val="17"/>
        </w:rPr>
        <w:t>Shows a hard diagnosis, the decision or alignment created, and the mechanism that made impact persist after the recommendation.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Evolution story: </w:t>
      </w:r>
      <w:r>
        <w:rPr>
          <w:rFonts w:ascii="Aptos" w:hAnsi="Aptos"/>
          <w:color w:val="18222B"/>
          <w:sz w:val="17"/>
        </w:rPr>
        <w:t>Problem diagnosis → workstream leadership → enterprise-level decisions and operating-system design.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Impact evidence: </w:t>
      </w:r>
      <w:r>
        <w:rPr>
          <w:rFonts w:ascii="Aptos" w:hAnsi="Aptos"/>
          <w:color w:val="18222B"/>
          <w:sz w:val="17"/>
        </w:rPr>
        <w:t>Revenue/cost impact, implementation milestones, decision cycle time, adoption, operating cadence, organization scale, capability transfer.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Watch-out: </w:t>
      </w:r>
      <w:r>
        <w:rPr>
          <w:rFonts w:ascii="Aptos" w:hAnsi="Aptos"/>
          <w:color w:val="18222B"/>
          <w:sz w:val="17"/>
        </w:rPr>
        <w:t>Avoid generic ‘aligned stakeholders.’ Name the disagreement, decision artifact, governance mechanism, and implementation consequence.</w:t>
      </w:r>
    </w:p>
    <w:p>
      <w:pPr>
        <w:keepNext/>
        <w:spacing w:before="140" w:after="60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24"/>
        </w:rPr>
        <w:t>Operations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Values rewarded: </w:t>
      </w:r>
      <w:r>
        <w:rPr>
          <w:rFonts w:ascii="Aptos" w:hAnsi="Aptos"/>
          <w:color w:val="18222B"/>
          <w:sz w:val="17"/>
        </w:rPr>
        <w:t>Ownership · reliability · continuous improvement · quality/safety · people leadership · disciplined scale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Résumé proof: </w:t>
      </w:r>
      <w:r>
        <w:rPr>
          <w:rFonts w:ascii="Aptos" w:hAnsi="Aptos"/>
          <w:color w:val="18222B"/>
          <w:sz w:val="17"/>
        </w:rPr>
        <w:t>Shows the process failure, operating mechanism, scale owned, and a service, throughput, quality, cost, capacity, or safety result.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Evolution story: </w:t>
      </w:r>
      <w:r>
        <w:rPr>
          <w:rFonts w:ascii="Aptos" w:hAnsi="Aptos"/>
          <w:color w:val="18222B"/>
          <w:sz w:val="17"/>
        </w:rPr>
        <w:t>Reliable frontline delivery → standardized systems → multi-team or multi-market operating leadership.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Impact evidence: </w:t>
      </w:r>
      <w:r>
        <w:rPr>
          <w:rFonts w:ascii="Aptos" w:hAnsi="Aptos"/>
          <w:color w:val="18222B"/>
          <w:sz w:val="17"/>
        </w:rPr>
        <w:t>Cycle time, throughput, SLA, defect/rework, cost per unit, capacity/utilization, forecast accuracy, safety, on-time delivery, team productivity.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Watch-out: </w:t>
      </w:r>
      <w:r>
        <w:rPr>
          <w:rFonts w:ascii="Aptos" w:hAnsi="Aptos"/>
          <w:color w:val="18222B"/>
          <w:sz w:val="17"/>
        </w:rPr>
        <w:t>Do not relabel project coordination as operations. Credible bullets show recurring process ownership and accountability for performance.</w:t>
      </w:r>
    </w:p>
    <w:p>
      <w:pPr>
        <w:keepNext/>
        <w:pageBreakBefore/>
        <w:spacing w:before="140" w:after="60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24"/>
        </w:rPr>
        <w:t>Gamification / Engagement Design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Values rewarded: </w:t>
      </w:r>
      <w:r>
        <w:rPr>
          <w:rFonts w:ascii="Aptos" w:hAnsi="Aptos"/>
          <w:color w:val="18222B"/>
          <w:sz w:val="17"/>
        </w:rPr>
        <w:t>User agency · meaningful progression · systems thinking · experimentation · balance/fairness · responsible motivation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Résumé proof: </w:t>
      </w:r>
      <w:r>
        <w:rPr>
          <w:rFonts w:ascii="Aptos" w:hAnsi="Aptos"/>
          <w:color w:val="18222B"/>
          <w:sz w:val="17"/>
        </w:rPr>
        <w:t>Names the target behavior, mechanic and feedback loop, experiment, guardrail, and engagement plus business/learning result.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Evolution story: </w:t>
      </w:r>
      <w:r>
        <w:rPr>
          <w:rFonts w:ascii="Aptos" w:hAnsi="Aptos"/>
          <w:color w:val="18222B"/>
          <w:sz w:val="17"/>
        </w:rPr>
        <w:t>Understanding motivation → designing balanced systems → responsible engagement at scale.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Impact evidence: </w:t>
      </w:r>
      <w:r>
        <w:rPr>
          <w:rFonts w:ascii="Aptos" w:hAnsi="Aptos"/>
          <w:color w:val="18222B"/>
          <w:sz w:val="17"/>
        </w:rPr>
        <w:t>Completion, mastery, return frequency, retention, session depth, recovery, progression pacing, economy stability, exploit/abuse rate, accessibility.</w:t>
      </w:r>
    </w:p>
    <w:p>
      <w:pPr>
        <w:keepLines/>
        <w:spacing w:after="44"/>
      </w:pPr>
      <w:r>
        <w:rPr>
          <w:rFonts w:ascii="Aptos" w:hAnsi="Aptos"/>
          <w:b/>
          <w:color w:val="184E77"/>
          <w:sz w:val="17"/>
        </w:rPr>
        <w:t xml:space="preserve">Watch-out: </w:t>
      </w:r>
      <w:r>
        <w:rPr>
          <w:rFonts w:ascii="Aptos" w:hAnsi="Aptos"/>
          <w:color w:val="18222B"/>
          <w:sz w:val="17"/>
        </w:rPr>
        <w:t>Gamification is usually a product, growth, learning, or game-design specialization—not points and badges and not a universal MBA function.</w:t>
      </w:r>
    </w:p>
    <w:p>
      <w:pPr>
        <w:spacing w:before="240" w:after="80"/>
      </w:pPr>
      <w:r>
        <w:rPr>
          <w:rFonts w:ascii="Aptos" w:hAnsi="Aptos"/>
          <w:b/>
          <w:color w:val="184E77"/>
          <w:sz w:val="26"/>
        </w:rPr>
        <w:t>Workshop test: does the story hold?</w:t>
      </w:r>
    </w:p>
    <w:p>
      <w:pPr>
        <w:numPr>
          <w:ilvl w:val="0"/>
          <w:numId w:val="10"/>
        </w:numPr>
        <w:spacing w:after="46" w:line="252" w:lineRule="auto"/>
      </w:pPr>
      <w:r>
        <w:rPr>
          <w:rFonts w:ascii="Aptos" w:hAnsi="Aptos"/>
          <w:color w:val="18222B"/>
          <w:sz w:val="18"/>
        </w:rPr>
        <w:t>Can a reader explain what the candidate learned in the first role, what judgment expanded in the second, and what broader consequence they owned in the latest role?</w:t>
      </w:r>
    </w:p>
    <w:p>
      <w:pPr>
        <w:numPr>
          <w:ilvl w:val="0"/>
          <w:numId w:val="10"/>
        </w:numPr>
        <w:spacing w:after="46" w:line="252" w:lineRule="auto"/>
      </w:pPr>
      <w:r>
        <w:rPr>
          <w:rFonts w:ascii="Aptos" w:hAnsi="Aptos"/>
          <w:color w:val="18222B"/>
          <w:sz w:val="18"/>
        </w:rPr>
        <w:t>Does each bullet contain a reason or tension without becoming a long explanation? Look for words such as ‘when,’ ‘after,’ ‘rather than,’ ‘to protect,’ or a clear problem clause.</w:t>
      </w:r>
    </w:p>
    <w:p>
      <w:pPr>
        <w:numPr>
          <w:ilvl w:val="0"/>
          <w:numId w:val="10"/>
        </w:numPr>
        <w:spacing w:after="46" w:line="252" w:lineRule="auto"/>
      </w:pPr>
      <w:r>
        <w:rPr>
          <w:rFonts w:ascii="Aptos" w:hAnsi="Aptos"/>
          <w:color w:val="18222B"/>
          <w:sz w:val="18"/>
        </w:rPr>
        <w:t>Are at least three types of impact visible: customer/user, economic, and organizational or operational?</w:t>
      </w:r>
    </w:p>
    <w:p>
      <w:pPr>
        <w:numPr>
          <w:ilvl w:val="0"/>
          <w:numId w:val="10"/>
        </w:numPr>
        <w:spacing w:after="46" w:line="252" w:lineRule="auto"/>
      </w:pPr>
      <w:r>
        <w:rPr>
          <w:rFonts w:ascii="Aptos" w:hAnsi="Aptos"/>
          <w:color w:val="18222B"/>
          <w:sz w:val="18"/>
        </w:rPr>
        <w:t>Would the candidate be able to defend the baseline, metric, scope, contribution level, and counterfactual in an interview?</w:t>
      </w:r>
    </w:p>
    <w:p>
      <w:pPr>
        <w:numPr>
          <w:ilvl w:val="0"/>
          <w:numId w:val="10"/>
        </w:numPr>
        <w:spacing w:after="46" w:line="252" w:lineRule="auto"/>
      </w:pPr>
      <w:r>
        <w:rPr>
          <w:rFonts w:ascii="Aptos" w:hAnsi="Aptos"/>
          <w:color w:val="18222B"/>
          <w:sz w:val="18"/>
        </w:rPr>
        <w:t>Do Education and Leadership reinforce the recruiting thesis instead of introducing unrelated identities?</w:t>
      </w:r>
    </w:p>
    <w:p>
      <w:pPr>
        <w:spacing w:before="200" w:after="80"/>
      </w:pPr>
      <w:r>
        <w:rPr>
          <w:rFonts w:ascii="Aptos" w:hAnsi="Aptos"/>
          <w:b/>
          <w:color w:val="184E77"/>
          <w:sz w:val="24"/>
        </w:rPr>
        <w:t>Research basis</w:t>
      </w:r>
    </w:p>
    <w:p>
      <w:pPr>
        <w:spacing w:after="44"/>
      </w:pPr>
      <w:r>
        <w:rPr>
          <w:rFonts w:ascii="Aptos" w:hAnsi="Aptos"/>
          <w:color w:val="5D6873"/>
          <w:sz w:val="15"/>
        </w:rPr>
        <w:t>Amazon Senior Product Marketing Manager: customer obsession, sound judgment, scalable GTM, lifecycle engagement, experimentation, influence, and operational excellence. https://www.amazon.jobs/en/jobs/10417957/sr-product-marketing-manager-imdb-imdb</w:t>
      </w:r>
    </w:p>
    <w:p>
      <w:pPr>
        <w:spacing w:after="44"/>
      </w:pPr>
      <w:r>
        <w:rPr>
          <w:rFonts w:ascii="Aptos" w:hAnsi="Aptos"/>
          <w:color w:val="5D6873"/>
          <w:sz w:val="15"/>
        </w:rPr>
        <w:t>JPMorganChase Investment Banking Associate: integrity, analytical and interpersonal skills, adaptability, client focus, financial analysis, origination, and execution. https://www.jpmorganchase.com/careers/explore-opportunities/programs/investment-banking-summer-associate</w:t>
      </w:r>
    </w:p>
    <w:p>
      <w:pPr>
        <w:spacing w:after="44"/>
      </w:pPr>
      <w:r>
        <w:rPr>
          <w:rFonts w:ascii="Aptos" w:hAnsi="Aptos"/>
          <w:color w:val="5D6873"/>
          <w:sz w:val="15"/>
        </w:rPr>
        <w:t>Amazon Senior Product Manager—Technical: customer obsession, end-to-end ownership, technical judgment, experimentation, trade-offs, and KPI rigor. https://www.amazon.jobs/en/jobs/10433374/senior-product-manager-technical-shopping-personalization-ai</w:t>
      </w:r>
    </w:p>
    <w:p>
      <w:pPr>
        <w:spacing w:after="44"/>
      </w:pPr>
      <w:r>
        <w:rPr>
          <w:rFonts w:ascii="Aptos" w:hAnsi="Aptos"/>
          <w:color w:val="5D6873"/>
          <w:sz w:val="15"/>
        </w:rPr>
        <w:t>McKinsey MBA careers: root-cause work, workstream ownership, creative solutions, implementation, capability building, and lasting impact. https://www.mckinsey.com/careers/students/mba-degree</w:t>
      </w:r>
    </w:p>
    <w:p>
      <w:pPr>
        <w:spacing w:after="44"/>
      </w:pPr>
      <w:r>
        <w:rPr>
          <w:rFonts w:ascii="Aptos" w:hAnsi="Aptos"/>
          <w:color w:val="5D6873"/>
          <w:sz w:val="15"/>
        </w:rPr>
        <w:t>Amazon Pathways Operations Manager: people, budget, quality, safety, Lean/Six Sigma, performance metrics, and repeatable improvement. https://www.amazon.jobs/en/jobs/10453256/pathways-operations-manager-amz9958890</w:t>
      </w:r>
    </w:p>
    <w:p>
      <w:pPr>
        <w:spacing w:after="44"/>
      </w:pPr>
      <w:r>
        <w:rPr>
          <w:rFonts w:ascii="Aptos" w:hAnsi="Aptos"/>
          <w:color w:val="5D6873"/>
          <w:sz w:val="15"/>
        </w:rPr>
        <w:t>EA FC 26 systems notes: progression pacing, accessibility, feedback, challenge/reward balance, economy safeguards, and monitoring unintended behavior. https://careers.ea.com/games/ea-sports-fc/fc-26/news/pitch-notes-fc26-launch-update</w:t>
      </w:r>
    </w:p>
    <w:sectPr w:rsidR="00FC693F" w:rsidRPr="0006063C" w:rsidSect="00034616">
      <w:footerReference w:type="default" r:id="rId9"/>
      <w:pgSz w:w="12240" w:h="15840"/>
      <w:pgMar w:top="749" w:right="835" w:bottom="749" w:left="83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6873"/>
        <w:sz w:val="14"/>
      </w:rPr>
      <w:t>M7 Resume Workshop  |  Hypothetical profiles—validate individual scope and metrics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Value Map for M7 MBA Résumés</dc:title>
  <dc:subject>Six function-specific value systems and story arcs</dc:subject>
  <dc:creator>M7 Resume Workshop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