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ptos" w:hAnsi="Aptos"/>
          <w:b/>
          <w:color w:val="184E77"/>
          <w:sz w:val="39"/>
        </w:rPr>
        <w:t>Maya Kapoor</w:t>
      </w:r>
    </w:p>
    <w:p>
      <w:pPr>
        <w:spacing w:after="16"/>
        <w:jc w:val="center"/>
      </w:pPr>
      <w:r>
        <w:rPr>
          <w:rFonts w:ascii="Aptos" w:hAnsi="Aptos"/>
          <w:b/>
          <w:color w:val="5D6873"/>
          <w:sz w:val="18"/>
        </w:rPr>
        <w:t>PRODUCT MARKETING · GO-TO-MARKET · STRATEGIC PARTNERSHIPS</w:t>
      </w:r>
    </w:p>
    <w:p>
      <w:pPr>
        <w:spacing w:after="84"/>
        <w:jc w:val="center"/>
      </w:pPr>
      <w:r>
        <w:rPr>
          <w:rFonts w:ascii="Aptos" w:hAnsi="Aptos"/>
          <w:color w:val="5D6873"/>
          <w:sz w:val="16"/>
        </w:rPr>
        <w:t>[City, State]  |  maya.kapoor@example.com  |  (555) 010-2401  |  linkedin.com/in/maya-kapoor-hypothetical</w:t>
      </w:r>
    </w:p>
    <w:p>
      <w:pPr>
        <w:keepNext/>
        <w:spacing w:before="56" w:after="44"/>
        <w:pBdr>
          <w:bottom w:val="single" w:sz="6" w:space="1" w:color="D8E3EC"/>
        </w:pBdr>
      </w:pPr>
      <w:r>
        <w:rPr>
          <w:rFonts w:ascii="Aptos" w:hAnsi="Aptos"/>
          <w:b/>
          <w:color w:val="184E77"/>
          <w:sz w:val="18"/>
        </w:rPr>
        <w:t>EXPERIENCE</w:t>
      </w:r>
    </w:p>
    <w:p>
      <w:pPr>
        <w:keepNext/>
        <w:tabs>
          <w:tab w:pos="10584" w:val="right"/>
        </w:tabs>
        <w:spacing w:before="32" w:after="0"/>
      </w:pPr>
      <w:r>
        <w:rPr>
          <w:rFonts w:ascii="Aptos" w:hAnsi="Aptos"/>
          <w:b/>
          <w:color w:val="18222B"/>
          <w:sz w:val="18"/>
        </w:rPr>
        <w:t>NEXUS DEALS</w:t>
      </w:r>
      <w:r>
        <w:rPr>
          <w:rFonts w:ascii="Aptos" w:hAnsi="Aptos"/>
          <w:color w:val="5D6873"/>
          <w:sz w:val="17"/>
        </w:rPr>
        <w:t xml:space="preserve">  |  Mumbai, India</w:t>
      </w:r>
      <w:r>
        <w:tab/>
      </w:r>
      <w:r>
        <w:rPr>
          <w:rFonts w:ascii="Aptos" w:hAnsi="Aptos"/>
          <w:b/>
          <w:color w:val="18222B"/>
          <w:sz w:val="17"/>
        </w:rPr>
        <w:t>2022–2025</w:t>
      </w:r>
    </w:p>
    <w:p>
      <w:pPr>
        <w:keepNext/>
        <w:spacing w:after="5"/>
      </w:pPr>
      <w:r>
        <w:rPr>
          <w:rFonts w:ascii="Aptos" w:hAnsi="Aptos"/>
          <w:b/>
          <w:i/>
          <w:color w:val="184E77"/>
          <w:sz w:val="17"/>
        </w:rPr>
        <w:t>Director, Growth &amp; Partnerships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Recognized that success-fee volatility obscured recurring customer value; segmented family-business sellers and PE-backed buyers, reframed the offer around extended-CFO support, and shortened the measured sales cycle 40% while building a $600K subscription run-rate.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Built a partner-led outbound motion with lenders, advisors, and sponsor-backed buyers; strengthened qualification rather than chasing volume, increasing average deal value 6× to $30K.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Converted buyer diligence friction into pre-vetted seller narratives, proof assets, and stage-specific follow-up; lifted paid conversion 25% and supplied customer evidence used in a $10M Series A process.</w:t>
      </w:r>
    </w:p>
    <w:p>
      <w:pPr>
        <w:keepNext/>
        <w:tabs>
          <w:tab w:pos="10584" w:val="right"/>
        </w:tabs>
        <w:spacing w:before="32" w:after="0"/>
      </w:pPr>
      <w:r>
        <w:rPr>
          <w:rFonts w:ascii="Aptos" w:hAnsi="Aptos"/>
          <w:b/>
          <w:color w:val="18222B"/>
          <w:sz w:val="18"/>
        </w:rPr>
        <w:t>AURORA WEALTH PLATFORM</w:t>
      </w:r>
      <w:r>
        <w:rPr>
          <w:rFonts w:ascii="Aptos" w:hAnsi="Aptos"/>
          <w:color w:val="5D6873"/>
          <w:sz w:val="17"/>
        </w:rPr>
        <w:t xml:space="preserve">  |  Bengaluru, India</w:t>
      </w:r>
      <w:r>
        <w:tab/>
      </w:r>
      <w:r>
        <w:rPr>
          <w:rFonts w:ascii="Aptos" w:hAnsi="Aptos"/>
          <w:b/>
          <w:color w:val="18222B"/>
          <w:sz w:val="17"/>
        </w:rPr>
        <w:t>2020–2022</w:t>
      </w:r>
    </w:p>
    <w:p>
      <w:pPr>
        <w:keepNext/>
        <w:spacing w:after="5"/>
      </w:pPr>
      <w:r>
        <w:rPr>
          <w:rFonts w:ascii="Aptos" w:hAnsi="Aptos"/>
          <w:b/>
          <w:i/>
          <w:color w:val="184E77"/>
          <w:sz w:val="17"/>
        </w:rPr>
        <w:t>Head of Institutional Partnerships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When private banks feared client poaching, co-designed ownership, suitability, and escalation rules with bankers and fund managers; converted seven priority institutions into a governed pilot pipeline and secured three bank MOUs.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Translated distinct banker, fund-manager, and HNI needs into account plans, enablement, and a partner-launch narrative; helped establish the commercial credibility behind $10M in follow-on financing.</w:t>
      </w:r>
    </w:p>
    <w:p>
      <w:pPr>
        <w:keepNext/>
        <w:tabs>
          <w:tab w:pos="10584" w:val="right"/>
        </w:tabs>
        <w:spacing w:before="32" w:after="0"/>
      </w:pPr>
      <w:r>
        <w:rPr>
          <w:rFonts w:ascii="Aptos" w:hAnsi="Aptos"/>
          <w:b/>
          <w:color w:val="18222B"/>
          <w:sz w:val="18"/>
        </w:rPr>
        <w:t>CAMPUSLINK</w:t>
      </w:r>
      <w:r>
        <w:rPr>
          <w:rFonts w:ascii="Aptos" w:hAnsi="Aptos"/>
          <w:color w:val="5D6873"/>
          <w:sz w:val="17"/>
        </w:rPr>
        <w:t xml:space="preserve">  |  New Delhi, India</w:t>
      </w:r>
      <w:r>
        <w:tab/>
      </w:r>
      <w:r>
        <w:rPr>
          <w:rFonts w:ascii="Aptos" w:hAnsi="Aptos"/>
          <w:b/>
          <w:color w:val="18222B"/>
          <w:sz w:val="17"/>
        </w:rPr>
        <w:t>2017–2020</w:t>
      </w:r>
    </w:p>
    <w:p>
      <w:pPr>
        <w:keepNext/>
        <w:spacing w:after="5"/>
      </w:pPr>
      <w:r>
        <w:rPr>
          <w:rFonts w:ascii="Aptos" w:hAnsi="Aptos"/>
          <w:b/>
          <w:i/>
          <w:color w:val="184E77"/>
          <w:sz w:val="17"/>
        </w:rPr>
        <w:t>Business Development Manager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Saw that one-off college acquisition could not sustain reach; built regulator and workforce-agency account plans plus 10 national alliances, tripling the partner network to 3,000+ institutions while increasing ARPU 20% and retention 10%.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Introduced funnel and partner-health reviews that shifted conversations from signed logos to activation, service quality, and renewal, creating a repeatable institutional-growth playbook.</w:t>
      </w:r>
    </w:p>
    <w:p>
      <w:pPr>
        <w:keepNext/>
        <w:spacing w:before="56" w:after="44"/>
        <w:pBdr>
          <w:bottom w:val="single" w:sz="6" w:space="1" w:color="D8E3EC"/>
        </w:pBdr>
      </w:pPr>
      <w:r>
        <w:rPr>
          <w:rFonts w:ascii="Aptos" w:hAnsi="Aptos"/>
          <w:b/>
          <w:color w:val="184E77"/>
          <w:sz w:val="18"/>
        </w:rPr>
        <w:t>EDUCATION</w:t>
      </w:r>
    </w:p>
    <w:p>
      <w:pPr>
        <w:tabs>
          <w:tab w:pos="10584" w:val="right"/>
        </w:tabs>
        <w:spacing w:after="4"/>
      </w:pPr>
      <w:r>
        <w:rPr>
          <w:rFonts w:ascii="Aptos" w:hAnsi="Aptos"/>
          <w:b/>
          <w:color w:val="18222B"/>
          <w:sz w:val="18"/>
        </w:rPr>
        <w:t>[M7 BUSINESS SCHOOL]</w:t>
      </w:r>
      <w:r>
        <w:tab/>
      </w:r>
      <w:r>
        <w:rPr>
          <w:rFonts w:ascii="Aptos" w:hAnsi="Aptos"/>
          <w:b/>
          <w:color w:val="18222B"/>
          <w:sz w:val="17"/>
        </w:rPr>
        <w:t>MBA Candidate, May 2027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GTM Lab: used customer interviews and behavioral data to redesign an onboarding journey; recommendation selected for pilot review. Coursework: Pricing, Customer Analytics, Entrepreneurial Sales.</w:t>
      </w:r>
    </w:p>
    <w:p>
      <w:pPr>
        <w:tabs>
          <w:tab w:pos="10584" w:val="right"/>
        </w:tabs>
        <w:spacing w:after="8"/>
      </w:pPr>
      <w:r>
        <w:rPr>
          <w:rFonts w:ascii="Aptos" w:hAnsi="Aptos"/>
          <w:b/>
          <w:color w:val="18222B"/>
          <w:sz w:val="17"/>
        </w:rPr>
        <w:t>NATIONAL INSTITUTE OF TECHNOLOGY</w:t>
      </w:r>
      <w:r>
        <w:tab/>
      </w:r>
      <w:r>
        <w:rPr>
          <w:rFonts w:ascii="Aptos" w:hAnsi="Aptos"/>
          <w:b/>
          <w:color w:val="18222B"/>
          <w:sz w:val="16"/>
        </w:rPr>
        <w:t>B.Tech., Computer Science, 2017</w:t>
      </w:r>
    </w:p>
    <w:p>
      <w:pPr>
        <w:keepNext/>
        <w:spacing w:before="56" w:after="44"/>
        <w:pBdr>
          <w:bottom w:val="single" w:sz="6" w:space="1" w:color="D8E3EC"/>
        </w:pBdr>
      </w:pPr>
      <w:r>
        <w:rPr>
          <w:rFonts w:ascii="Aptos" w:hAnsi="Aptos"/>
          <w:b/>
          <w:color w:val="184E77"/>
          <w:sz w:val="18"/>
        </w:rPr>
        <w:t>LEADERSHIP &amp; ADDITIONAL</w:t>
      </w:r>
    </w:p>
    <w:p>
      <w:pPr>
        <w:spacing w:after="22"/>
      </w:pPr>
      <w:r>
        <w:rPr>
          <w:rFonts w:ascii="Aptos" w:hAnsi="Aptos"/>
          <w:b/>
          <w:color w:val="184E77"/>
          <w:sz w:val="17"/>
        </w:rPr>
        <w:t xml:space="preserve">Leadership: </w:t>
      </w:r>
      <w:r>
        <w:rPr>
          <w:rFonts w:ascii="Aptos" w:hAnsi="Aptos"/>
          <w:color w:val="18222B"/>
          <w:sz w:val="17"/>
        </w:rPr>
        <w:t>Invited speaker on data-driven simulations across India, UK, Canada, and Singapore; one session reached 10K+ attendees.</w:t>
      </w:r>
    </w:p>
    <w:p>
      <w:pPr>
        <w:spacing w:after="0"/>
      </w:pPr>
      <w:r>
        <w:rPr>
          <w:rFonts w:ascii="Aptos" w:hAnsi="Aptos"/>
          <w:b/>
          <w:color w:val="184E77"/>
          <w:sz w:val="17"/>
        </w:rPr>
        <w:t xml:space="preserve">Skills: </w:t>
      </w:r>
      <w:r>
        <w:rPr>
          <w:rFonts w:ascii="Aptos" w:hAnsi="Aptos"/>
          <w:color w:val="18222B"/>
          <w:sz w:val="17"/>
        </w:rPr>
        <w:t>GTM strategy, customer research, enterprise sales, lifecycle marketing, partner ecosystems, pricing, Salesforce, SQL, Excel/Tableau.</w:t>
      </w:r>
    </w:p>
    <w:sectPr w:rsidR="00FC693F" w:rsidRPr="0006063C" w:rsidSect="00034616">
      <w:pgSz w:w="12240" w:h="15840"/>
      <w:pgMar w:top="634" w:right="749" w:bottom="634" w:left="74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30"/>
        </w:tabs>
        <w:ind w:left="330" w:hanging="18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8" w:line="240" w:lineRule="auto"/>
    </w:pPr>
    <w:rPr>
      <w:rFonts w:ascii="Aptos" w:hAnsi="Aptos"/>
      <w:color w:val="18222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Maya Kapoor — Product Marketing · Go-to-Market · Strategic Partnerships</dc:title>
  <dc:subject>Hypothetical M7 MBA workshop résumé</dc:subject>
  <dc:creator>M7 Resume Workshop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