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 xml:space="preserve">Nama : </w:t>
      </w:r>
      <w:r>
        <w:rPr>
          <w:rFonts w:cs="Times New Roman" w:ascii="Times New Roman" w:hAnsi="Times New Roman"/>
          <w:b/>
          <w:color w:val="auto"/>
          <w:sz w:val="24"/>
          <w:szCs w:val="24"/>
        </w:rPr>
        <w:t>Badar Muhammad Januar</w:t>
      </w:r>
    </w:p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NPM  : 1111221</w:t>
      </w:r>
      <w:r>
        <w:rPr>
          <w:rFonts w:cs="Times New Roman" w:ascii="Times New Roman" w:hAnsi="Times New Roman"/>
          <w:b/>
          <w:color w:val="auto"/>
          <w:sz w:val="24"/>
          <w:szCs w:val="24"/>
        </w:rPr>
        <w:t>264</w:t>
      </w:r>
    </w:p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Tugas Minggu 15 Operasional Bank Syariah</w:t>
      </w:r>
    </w:p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Laporan Keuangan Bank Syariah Indonesia 2022</w:t>
      </w:r>
    </w:p>
    <w:p>
      <w:pPr>
        <w:pStyle w:val="Normal"/>
        <w:tabs>
          <w:tab w:val="clear" w:pos="720"/>
          <w:tab w:val="left" w:pos="6801" w:leader="none"/>
        </w:tabs>
        <w:spacing w:lineRule="auto" w:line="264" w:before="0" w:after="0"/>
        <w:ind w:hanging="0" w:left="-5" w:right="2225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</w:p>
    <w:p>
      <w:pPr>
        <w:pStyle w:val="Heading2"/>
        <w:spacing w:lineRule="auto" w:line="247" w:before="0" w:after="32"/>
        <w:ind w:hanging="10" w:left="-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Posisi Keuangan Konsolidasian</w:t>
      </w:r>
    </w:p>
    <w:p>
      <w:pPr>
        <w:pStyle w:val="Normal"/>
        <w:spacing w:lineRule="auto" w:line="264" w:before="0" w:after="3"/>
        <w:ind w:hanging="10" w:left="10" w:right="1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(Rp Juta)</w:t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85" w:type="dxa"/>
          <w:bottom w:w="0" w:type="dxa"/>
          <w:right w:w="56" w:type="dxa"/>
        </w:tblCellMar>
        <w:tblLook w:firstRow="1" w:noVBand="1" w:lastRow="0" w:firstColumn="1" w:lastColumn="0" w:noHBand="0" w:val="04a0"/>
      </w:tblPr>
      <w:tblGrid>
        <w:gridCol w:w="4820"/>
        <w:gridCol w:w="1417"/>
        <w:gridCol w:w="1417"/>
        <w:gridCol w:w="1416"/>
      </w:tblGrid>
      <w:tr>
        <w:trPr>
          <w:trHeight w:val="409" w:hRule="atLeast"/>
        </w:trPr>
        <w:tc>
          <w:tcPr>
            <w:tcW w:w="4820" w:type="dxa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URAIAN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2021</w:t>
            </w:r>
          </w:p>
        </w:tc>
        <w:tc>
          <w:tcPr>
            <w:tcW w:w="1417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2020*</w:t>
            </w:r>
          </w:p>
        </w:tc>
        <w:tc>
          <w:tcPr>
            <w:tcW w:w="1416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2019</w:t>
            </w:r>
          </w:p>
        </w:tc>
      </w:tr>
      <w:tr>
        <w:trPr>
          <w:trHeight w:val="352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Kas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4.119.903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3.180.739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2.210.290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Giro dan Penempatan pada Bank Indonesia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20.563.580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21.527.933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23.840.556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Giro dan Penempatan pada Surat Berharga-Neto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1.841.551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8.695.805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3.710.161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Investasi pada Surat Berharga-Neto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67.579.070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49.105.637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38.709.977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Tagihan Akseptasi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159.880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292.789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234.895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Piutang Murabahah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101.685.560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89.844.090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73.000.131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Piutang Istishna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359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637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2.970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Piutang Sewa Ijarah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101.570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39.167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21.422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Cadangan kerugian penurunan nilai dan penyisihan kerugian Piutang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(3.450.506)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(3.294.706)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(1.939.242)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Pinjaman Qardh- 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9.081.400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9.054.373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8.470.296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Pembiayaan Mudharabah-Neto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1.592.314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2.598.787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3.674.396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Pembiayaan Musyarakah-Neto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53.903.123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50.896.175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46.393.775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Aset yang Diperoleh Untuk Ijarah - 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901.565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1.509.461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2.251.266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Aset Tetap dan Aset Hak Guna - Neto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4.055.953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3.397.075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1.876.250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Aset Pajak Tangguhan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1.445.324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1.109.281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808.511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Aset Lain-lain-Neto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1.708.435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1.624.281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2.031.373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Investasi pada Entitas Asosiasi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TOTAL ASET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265.289.081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239.581.524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205.297.027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Liabilitas Segera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608.554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989.362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665.220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Bagi Hasil yang Masih Harus Dibayar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158.478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170.010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200.900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SIMPANAN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Giro Wadiah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22.411.614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30.822.613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16.428.240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Tabungan Wadiah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34.836.276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29.580.970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21.135.628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Total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57.247.890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60.403.583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37.563.868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Simpanan dari Bank Lain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115.938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806.560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106.895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Kewajiban Akseptasi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161.495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295.337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237.254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Pembiayaan yang Diterima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Utang Pajak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504.078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537.514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378.752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Estimasi Kerugian Komitmen dan Kontinjensi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17.194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20.323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19.452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Estimasi Liabilitas Imbalan Kerja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836.491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908.751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727.861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Liabilitas Lain-lain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2.236.358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1.908.921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4.106.641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JUMLAH LIABILITAS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61.886.476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66.040.361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44.006.843 </w:t>
            </w:r>
          </w:p>
        </w:tc>
      </w:tr>
    </w:tbl>
    <w:p>
      <w:pPr>
        <w:pStyle w:val="Normal"/>
        <w:spacing w:lineRule="auto" w:line="264" w:before="0" w:after="3"/>
        <w:ind w:hanging="10" w:left="10" w:right="1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(Rp Juta)</w:t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85" w:type="dxa"/>
          <w:bottom w:w="0" w:type="dxa"/>
          <w:right w:w="56" w:type="dxa"/>
        </w:tblCellMar>
        <w:tblLook w:firstRow="1" w:noVBand="1" w:lastRow="0" w:firstColumn="1" w:lastColumn="0" w:noHBand="0" w:val="04a0"/>
      </w:tblPr>
      <w:tblGrid>
        <w:gridCol w:w="4820"/>
        <w:gridCol w:w="1417"/>
        <w:gridCol w:w="1417"/>
        <w:gridCol w:w="1416"/>
      </w:tblGrid>
      <w:tr>
        <w:trPr>
          <w:trHeight w:val="409" w:hRule="atLeast"/>
        </w:trPr>
        <w:tc>
          <w:tcPr>
            <w:tcW w:w="4820" w:type="dxa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URAIAN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2021</w:t>
            </w:r>
          </w:p>
        </w:tc>
        <w:tc>
          <w:tcPr>
            <w:tcW w:w="1417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2020*</w:t>
            </w:r>
          </w:p>
        </w:tc>
        <w:tc>
          <w:tcPr>
            <w:tcW w:w="1416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2019</w:t>
            </w:r>
          </w:p>
        </w:tc>
      </w:tr>
      <w:tr>
        <w:trPr>
          <w:trHeight w:val="352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DANA SYIRKAH TEMPORER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Giro Mudharabah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13.318.627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5.370.452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11.880.204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Tabungan Mudharabah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65.102.491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59.008.934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48.064.346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Deposito Mudharabah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98.592.553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86.043.632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80.997.689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Sukuk Mudharabah Subordinasi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1.375.000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1.375.000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1.279.000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JUMLAH DANA SYIRKAH TEMPORER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178.388.671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151.798.018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142.221.239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EKUITAS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Modal disetor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20.564.654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3.142.019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2.989.022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Tambahan Modal Disetor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(6.366.776)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-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-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Ekuitas Merging Entities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-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10.903.586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9.823.110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Keuntungan Revaluasi Aset Tetap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444.530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395.725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395.725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Pengukuran Kembali Program Imbalan Kerja Pasti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140.271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53.998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47.049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Keuntungan/(Kerugian) Surat Berharga - bersih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22.263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-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710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Cadangan Umum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779.036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597.804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597.804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Saldo Laba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9.429.956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6.650.013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5.215.525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501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Tahun lalu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6.468.781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5.215.525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3.940.491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650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Tahun berjalan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2.961.175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1.434.488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1.275.034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TOTAL EKUITAS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25.013.934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21.743.145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19.068.945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TOTAL LIABILITAS, DANA SYIRKAH TEMPORER DAN EKUITAS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265.289.081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239.581.524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205.297.027 </w:t>
            </w:r>
          </w:p>
        </w:tc>
      </w:tr>
    </w:tbl>
    <w:p>
      <w:pPr>
        <w:pStyle w:val="Normal"/>
        <w:spacing w:lineRule="auto" w:line="264" w:before="0" w:after="11"/>
        <w:ind w:hanging="10" w:left="8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ind w:hanging="0" w:left="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  <w:r>
        <w:br w:type="page"/>
      </w:r>
    </w:p>
    <w:p>
      <w:pPr>
        <w:pStyle w:val="Heading2"/>
        <w:spacing w:lineRule="auto" w:line="247" w:before="0" w:after="32"/>
        <w:ind w:hanging="10" w:left="-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Laba Rugi dan Penghasilan Komprehensif Lain Konsolidasian</w:t>
      </w:r>
    </w:p>
    <w:p>
      <w:pPr>
        <w:pStyle w:val="Normal"/>
        <w:spacing w:lineRule="auto" w:line="264" w:before="0" w:after="3"/>
        <w:ind w:hanging="10" w:left="10" w:right="1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(Rp Juta)</w:t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0" w:type="dxa"/>
          <w:bottom w:w="53" w:type="dxa"/>
          <w:right w:w="56" w:type="dxa"/>
        </w:tblCellMar>
        <w:tblLook w:firstRow="1" w:noVBand="1" w:lastRow="0" w:firstColumn="1" w:lastColumn="0" w:noHBand="0" w:val="04a0"/>
      </w:tblPr>
      <w:tblGrid>
        <w:gridCol w:w="4820"/>
        <w:gridCol w:w="1417"/>
        <w:gridCol w:w="1417"/>
        <w:gridCol w:w="1416"/>
      </w:tblGrid>
      <w:tr>
        <w:trPr>
          <w:trHeight w:val="409" w:hRule="atLeast"/>
        </w:trPr>
        <w:tc>
          <w:tcPr>
            <w:tcW w:w="4820" w:type="dxa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URAIAN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2021</w:t>
            </w:r>
          </w:p>
        </w:tc>
        <w:tc>
          <w:tcPr>
            <w:tcW w:w="1417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2020*</w:t>
            </w:r>
          </w:p>
        </w:tc>
        <w:tc>
          <w:tcPr>
            <w:tcW w:w="1416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2019</w:t>
            </w:r>
          </w:p>
        </w:tc>
      </w:tr>
      <w:tr>
        <w:trPr>
          <w:trHeight w:val="352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Jumlah Pendapatan Pengelolaan Dana oleh Bank Sebagai Mudharib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17.808.432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16.929.592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15.739.431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Hak Pihak Ketiga Atas Bagi Hasil Dana Syirkah Temporer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4.378.807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5.004.254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5.363.576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Hak Bagi Hasil Milik Bank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13.429.625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11.925.338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10.375.855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Pendapatan Operasional Lainnya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3.012.246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2.776.701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2.418.234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Jumlah Pendapatan setelah Distribusi bagi Hasil, Imbalan dan Bonus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16.441.871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14.702.039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12.794.089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Jumlah Beban Operasional Lainnya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8.782.773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7.955.227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7.166.873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Beban  CKPN Aset Produktif dan Non Produktif - 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3.551.249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3.620.446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2.855.517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Laba Usaha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4.107.849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3.126.366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2.771.700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Pendapatan (Beban) Non Operasional- Neto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(147.325)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(121.169)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(139.881)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Laba Sebelum Beban Pajak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3.960.524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3.005.197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2.631.818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Beban Pajak Penghasilan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932.319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817.548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679.616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Laba Bersih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3.028.205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2.187.649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         </w:t>
            </w: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 xml:space="preserve">1.952.202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Laba (Rugi) Periode Berjalan yang Dapat Diatribusikan kepada: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945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Pemilik Entitas Induk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3.028.205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2.187.649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1.952.202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Kepentingan Non Pengendali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Jumlah Pendapatan Komprehensif Lain Bersih Setelah Pajak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189.591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(36.503)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(80.733 )</w:t>
            </w:r>
          </w:p>
        </w:tc>
      </w:tr>
      <w:tr>
        <w:trPr>
          <w:trHeight w:val="47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 w:right="1472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Laba (Rugi) Komprehensif Periode Berjalan  Dapat Diatribusikan kepada: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3.217.796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2.151.146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1.871.469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945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Pemilik Entitas Induk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3.217.796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2.151.146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1.871.469 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tabs>
                <w:tab w:val="clear" w:pos="720"/>
                <w:tab w:val="center" w:pos="1206" w:leader="none"/>
              </w:tabs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· </w:t>
              <w:tab/>
              <w:t>Kepentingan Non Pengendali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-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Laba Tahun Berjalan per Saham Dasar (dalam Rupiah penuh)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73,69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53,52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47,79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Laba per Saham Dilusian (dalam Rupiah penuh)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73,66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53,51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47,79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  <w:r>
        <w:br w:type="page"/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0" w:type="dxa"/>
          <w:bottom w:w="53" w:type="dxa"/>
          <w:right w:w="56" w:type="dxa"/>
        </w:tblCellMar>
        <w:tblLook w:firstRow="1" w:noVBand="1" w:lastRow="0" w:firstColumn="1" w:lastColumn="0" w:noHBand="0" w:val="04a0"/>
      </w:tblPr>
      <w:tblGrid>
        <w:gridCol w:w="4820"/>
        <w:gridCol w:w="1417"/>
        <w:gridCol w:w="1417"/>
        <w:gridCol w:w="1416"/>
      </w:tblGrid>
      <w:tr>
        <w:trPr>
          <w:trHeight w:val="1442" w:hRule="atLeast"/>
        </w:trPr>
        <w:tc>
          <w:tcPr>
            <w:tcW w:w="4820" w:type="dxa"/>
            <w:tcBorders>
              <w:top w:val="single" w:sz="2" w:space="0" w:color="6F6F6E"/>
            </w:tcBorders>
          </w:tcPr>
          <w:p>
            <w:pPr>
              <w:pStyle w:val="Normal"/>
              <w:pageBreakBefore/>
              <w:widowControl/>
              <w:spacing w:lineRule="auto" w:line="254" w:before="0" w:after="731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Arus Kas</w:t>
            </w:r>
          </w:p>
        </w:tc>
        <w:tc>
          <w:tcPr>
            <w:tcW w:w="1417" w:type="dxa"/>
            <w:tcBorders>
              <w:top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7" w:type="dxa"/>
            <w:tcBorders>
              <w:top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</w:r>
          </w:p>
        </w:tc>
        <w:tc>
          <w:tcPr>
            <w:tcW w:w="1416" w:type="dxa"/>
            <w:tcBorders>
              <w:top w:val="single" w:sz="2" w:space="0" w:color="6F6F6E"/>
            </w:tcBorders>
            <w:vAlign w:val="bottom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(Rp Juta)</w:t>
            </w:r>
          </w:p>
        </w:tc>
      </w:tr>
      <w:tr>
        <w:trPr>
          <w:trHeight w:val="409" w:hRule="atLeast"/>
        </w:trPr>
        <w:tc>
          <w:tcPr>
            <w:tcW w:w="4820" w:type="dxa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URAIAN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2021</w:t>
            </w:r>
          </w:p>
        </w:tc>
        <w:tc>
          <w:tcPr>
            <w:tcW w:w="1417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2020*</w:t>
            </w:r>
          </w:p>
        </w:tc>
        <w:tc>
          <w:tcPr>
            <w:tcW w:w="1416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56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2019</w:t>
            </w:r>
          </w:p>
        </w:tc>
      </w:tr>
      <w:tr>
        <w:trPr>
          <w:trHeight w:val="352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Arus Kas Aktivitas Operasi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18.676.808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12.187.412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7.457.737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Arus Kas Aktivitas Investasi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(18.571.038)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(11.747.901)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(4.054.061)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Arus Kas Aktivitas Pendanaan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(77.929)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(140.494)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(10.660)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Kas &amp; Setara Kas Awal Tahun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26.514.431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26.215.414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22.872.398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Kas &amp; Setara Kas Akhir Tahun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26.542.272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       </w:t>
            </w: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26.514.431 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26.265.414</w:t>
            </w:r>
          </w:p>
        </w:tc>
      </w:tr>
    </w:tbl>
    <w:p>
      <w:pPr>
        <w:pStyle w:val="Normal"/>
        <w:spacing w:lineRule="auto" w:line="264" w:before="0" w:after="11"/>
        <w:ind w:hanging="10" w:left="8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Heading2"/>
        <w:spacing w:lineRule="auto" w:line="247" w:before="0" w:after="32"/>
        <w:ind w:hanging="10" w:left="-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Rasio Keuangan</w:t>
      </w:r>
    </w:p>
    <w:p>
      <w:pPr>
        <w:pStyle w:val="Normal"/>
        <w:spacing w:lineRule="auto" w:line="264" w:before="0" w:after="3"/>
        <w:ind w:hanging="10" w:left="10" w:right="14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(%)</w:t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85" w:type="dxa"/>
          <w:bottom w:w="0" w:type="dxa"/>
          <w:right w:w="85" w:type="dxa"/>
        </w:tblCellMar>
        <w:tblLook w:firstRow="1" w:noVBand="1" w:lastRow="0" w:firstColumn="1" w:lastColumn="0" w:noHBand="0" w:val="04a0"/>
      </w:tblPr>
      <w:tblGrid>
        <w:gridCol w:w="4820"/>
        <w:gridCol w:w="1417"/>
        <w:gridCol w:w="1417"/>
        <w:gridCol w:w="1416"/>
      </w:tblGrid>
      <w:tr>
        <w:trPr>
          <w:trHeight w:val="409" w:hRule="atLeast"/>
        </w:trPr>
        <w:tc>
          <w:tcPr>
            <w:tcW w:w="4820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URAIAN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48" w:space="0" w:color="C6E1E1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2021</w:t>
            </w:r>
          </w:p>
        </w:tc>
        <w:tc>
          <w:tcPr>
            <w:tcW w:w="1417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2020</w:t>
            </w:r>
          </w:p>
        </w:tc>
        <w:tc>
          <w:tcPr>
            <w:tcW w:w="1416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4"/>
                <w:szCs w:val="24"/>
                <w:lang w:val="en-ID" w:bidi="ar-SA"/>
              </w:rPr>
              <w:t>2019</w:t>
            </w:r>
          </w:p>
        </w:tc>
      </w:tr>
      <w:tr>
        <w:trPr>
          <w:trHeight w:val="352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Rasio Kecukupan Modal (CAR)</w:t>
            </w:r>
          </w:p>
        </w:tc>
        <w:tc>
          <w:tcPr>
            <w:tcW w:w="1417" w:type="dxa"/>
            <w:tcBorders>
              <w:top w:val="single" w:sz="48" w:space="0" w:color="C6E1E1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22,09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18,24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18,71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Rasio Pembiayaan Bermasalah Gross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2,93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2,88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3,21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 xml:space="preserve">Rasio Pembiayaan Bermasalah Net 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0,87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1,12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1,58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ROA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1,61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1,38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1,44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ROE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13,71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11,18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11,28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Margin Pendapatan Bersih (NIM)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6,04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6,04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3,97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Beban Operasional terhadap Pendapatan Operasional (BOPO)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80,46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84,61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85,27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Cost to Income Ratio (CIR)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52,57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53,74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58,05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Cost Efficiency Ratio (CER)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52,07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50,56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53,61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Rasio Pembiayaan terhadap Dana Pihak Ketiga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73,39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74,52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76,15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Persentase Pelampauan BMPD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0,51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0,00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0,00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Giro Wajib Minimum (GWM) Rupiah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4,55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3,12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5,12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Giro Wajib Minimum (GWM) Valas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1,03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1,16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2,89</w:t>
            </w:r>
          </w:p>
        </w:tc>
      </w:tr>
      <w:tr>
        <w:trPr>
          <w:trHeight w:val="291" w:hRule="atLeast"/>
        </w:trPr>
        <w:tc>
          <w:tcPr>
            <w:tcW w:w="4820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Posisi Devisa Netto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0,27</w:t>
            </w:r>
          </w:p>
        </w:tc>
        <w:tc>
          <w:tcPr>
            <w:tcW w:w="141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4,47</w:t>
            </w:r>
          </w:p>
        </w:tc>
        <w:tc>
          <w:tcPr>
            <w:tcW w:w="1416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4"/>
                <w:szCs w:val="24"/>
                <w:lang w:val="en-ID" w:bidi="ar-SA"/>
              </w:rPr>
              <w:t>1,73</w:t>
            </w:r>
          </w:p>
        </w:tc>
      </w:tr>
    </w:tbl>
    <w:p>
      <w:pPr>
        <w:pStyle w:val="Normal"/>
        <w:ind w:hanging="0"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auto" w:line="259" w:before="0" w:after="160"/>
        <w:ind w:hanging="0" w:left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  <w:r>
        <w:br w:type="page"/>
      </w:r>
    </w:p>
    <w:p>
      <w:pPr>
        <w:pStyle w:val="Normal"/>
        <w:spacing w:lineRule="auto" w:line="264" w:before="0" w:after="0"/>
        <w:ind w:hanging="10" w:left="-5" w:right="2225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Ikhtisar</w:t>
      </w:r>
      <w:r>
        <w:rPr>
          <w:rFonts w:cs="Times New Roman" w:ascii="Times New Roman" w:hAnsi="Times New Roman"/>
          <w:color w:val="auto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auto"/>
          <w:sz w:val="24"/>
          <w:szCs w:val="24"/>
        </w:rPr>
        <w:t>Saham</w:t>
      </w:r>
    </w:p>
    <w:p>
      <w:pPr>
        <w:pStyle w:val="Normal"/>
        <w:spacing w:lineRule="auto" w:line="264" w:before="0" w:after="0"/>
        <w:ind w:hanging="10" w:left="-5" w:right="222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lineRule="auto" w:line="254" w:before="0" w:after="0"/>
        <w:ind w:hanging="10" w:left="-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  <w:t>Informasi Harga Saham</w:t>
      </w:r>
    </w:p>
    <w:tbl>
      <w:tblPr>
        <w:tblStyle w:val="TableGrid"/>
        <w:tblW w:w="946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56" w:type="dxa"/>
        </w:tblCellMar>
        <w:tblLook w:firstRow="1" w:noVBand="1" w:lastRow="0" w:firstColumn="1" w:lastColumn="0" w:noHBand="0" w:val="04a0"/>
      </w:tblPr>
      <w:tblGrid>
        <w:gridCol w:w="740"/>
        <w:gridCol w:w="727"/>
        <w:gridCol w:w="552"/>
        <w:gridCol w:w="663"/>
        <w:gridCol w:w="488"/>
        <w:gridCol w:w="675"/>
        <w:gridCol w:w="511"/>
        <w:gridCol w:w="157"/>
        <w:gridCol w:w="770"/>
        <w:gridCol w:w="290"/>
        <w:gridCol w:w="91"/>
        <w:gridCol w:w="901"/>
        <w:gridCol w:w="198"/>
        <w:gridCol w:w="170"/>
        <w:gridCol w:w="941"/>
        <w:gridCol w:w="122"/>
        <w:gridCol w:w="182"/>
        <w:gridCol w:w="1289"/>
      </w:tblGrid>
      <w:tr>
        <w:trPr>
          <w:trHeight w:val="291" w:hRule="atLeast"/>
        </w:trPr>
        <w:tc>
          <w:tcPr>
            <w:tcW w:w="740" w:type="dxa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TAHUN</w:t>
            </w:r>
          </w:p>
        </w:tc>
        <w:tc>
          <w:tcPr>
            <w:tcW w:w="1279" w:type="dxa"/>
            <w:gridSpan w:val="2"/>
            <w:tcBorders>
              <w:left w:val="single" w:sz="4" w:space="0" w:color="FFFFFF"/>
              <w:bottom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2337" w:type="dxa"/>
            <w:gridSpan w:val="4"/>
            <w:tcBorders>
              <w:bottom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HARGA PER SAHAM (Rp)</w:t>
            </w:r>
          </w:p>
        </w:tc>
        <w:tc>
          <w:tcPr>
            <w:tcW w:w="1217" w:type="dxa"/>
            <w:gridSpan w:val="3"/>
            <w:tcBorders>
              <w:bottom w:val="single" w:sz="4" w:space="0" w:color="FFFFFF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90" w:type="dxa"/>
            <w:gridSpan w:val="3"/>
            <w:vMerge w:val="restart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JUMLAH SAHAM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BEREDAR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(LEMBAR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SAHAM)</w:t>
            </w:r>
          </w:p>
        </w:tc>
        <w:tc>
          <w:tcPr>
            <w:tcW w:w="1233" w:type="dxa"/>
            <w:gridSpan w:val="3"/>
            <w:vMerge w:val="restart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VOLUME </w:t>
            </w:r>
          </w:p>
          <w:p>
            <w:pPr>
              <w:pStyle w:val="Normal"/>
              <w:widowControl/>
              <w:spacing w:lineRule="auto" w:line="235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TRANSAKSI (LEMBAR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SAHAM)</w:t>
            </w:r>
          </w:p>
        </w:tc>
        <w:tc>
          <w:tcPr>
            <w:tcW w:w="1471" w:type="dxa"/>
            <w:gridSpan w:val="2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4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KAPITALISASI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PASAR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(Rp TRILIUN)</w:t>
            </w:r>
          </w:p>
        </w:tc>
      </w:tr>
      <w:tr>
        <w:trPr>
          <w:trHeight w:val="602" w:hRule="atLeast"/>
        </w:trPr>
        <w:tc>
          <w:tcPr>
            <w:tcW w:w="740" w:type="dxa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79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2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PEMBUKAAN</w:t>
            </w:r>
          </w:p>
        </w:tc>
        <w:tc>
          <w:tcPr>
            <w:tcW w:w="1151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TERTINGGI</w:t>
            </w:r>
          </w:p>
        </w:tc>
        <w:tc>
          <w:tcPr>
            <w:tcW w:w="1186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8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TERENDAH</w:t>
            </w:r>
          </w:p>
        </w:tc>
        <w:tc>
          <w:tcPr>
            <w:tcW w:w="1217" w:type="dxa"/>
            <w:gridSpan w:val="3"/>
            <w:tcBorders>
              <w:top w:val="single" w:sz="4" w:space="0" w:color="FFFFFF"/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2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PENUTUPAN</w:t>
            </w:r>
          </w:p>
        </w:tc>
        <w:tc>
          <w:tcPr>
            <w:tcW w:w="1190" w:type="dxa"/>
            <w:gridSpan w:val="3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33" w:type="dxa"/>
            <w:gridSpan w:val="3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471" w:type="dxa"/>
            <w:gridSpan w:val="2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</w:tr>
      <w:tr>
        <w:trPr>
          <w:trHeight w:val="352" w:hRule="atLeast"/>
        </w:trPr>
        <w:tc>
          <w:tcPr>
            <w:tcW w:w="740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79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2337" w:type="dxa"/>
            <w:gridSpan w:val="4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17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10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2021</w:t>
            </w:r>
          </w:p>
        </w:tc>
        <w:tc>
          <w:tcPr>
            <w:tcW w:w="1190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33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471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</w:tr>
      <w:tr>
        <w:trPr>
          <w:trHeight w:val="206" w:hRule="atLeast"/>
        </w:trPr>
        <w:tc>
          <w:tcPr>
            <w:tcW w:w="1467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</w:t>
            </w:r>
          </w:p>
        </w:tc>
        <w:tc>
          <w:tcPr>
            <w:tcW w:w="1215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2.350 </w:t>
            </w:r>
          </w:p>
        </w:tc>
        <w:tc>
          <w:tcPr>
            <w:tcW w:w="1163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2.350 </w:t>
            </w:r>
          </w:p>
        </w:tc>
        <w:tc>
          <w:tcPr>
            <w:tcW w:w="668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2.210 </w:t>
            </w:r>
          </w:p>
        </w:tc>
        <w:tc>
          <w:tcPr>
            <w:tcW w:w="1151" w:type="dxa"/>
            <w:gridSpan w:val="3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9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2.290 </w:t>
            </w:r>
          </w:p>
        </w:tc>
        <w:tc>
          <w:tcPr>
            <w:tcW w:w="1269" w:type="dxa"/>
            <w:gridSpan w:val="3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4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41.031.208.943 </w:t>
            </w:r>
          </w:p>
        </w:tc>
        <w:tc>
          <w:tcPr>
            <w:tcW w:w="1245" w:type="dxa"/>
            <w:gridSpan w:val="3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10.061.997.400 </w:t>
            </w:r>
          </w:p>
        </w:tc>
        <w:tc>
          <w:tcPr>
            <w:tcW w:w="1289" w:type="dxa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93,96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2.180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2.370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2.150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9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2.300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4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41.128.868.743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9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3.808.326.000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94,60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2.050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2.080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2.010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9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2.040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4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41.128.868.743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9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4.356.091.600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83,90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IV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1.790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1.805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1.780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1.780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53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41.129.307.343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2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1.880.546.500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73,21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2020 *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190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210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190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0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196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1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732.856.900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1,90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310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312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306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0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308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9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3.986.666.700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2,99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750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760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725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0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750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15.807.047.400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7,29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IV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2.290 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2.370 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2.200 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9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2.250 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9.900.508.698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15.875.453.300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22,28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2019 *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  <w:shd w:color="auto" w:fill="DFDFDF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535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540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530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3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530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1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513.546.800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5,15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500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510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500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3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505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1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575.097.000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4,91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III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408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412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402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3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404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1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363.572.400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3,93 </w:t>
            </w:r>
          </w:p>
        </w:tc>
      </w:tr>
      <w:tr>
        <w:trPr>
          <w:trHeight w:val="291" w:hRule="atLeast"/>
        </w:trPr>
        <w:tc>
          <w:tcPr>
            <w:tcW w:w="146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IV</w:t>
            </w:r>
          </w:p>
        </w:tc>
        <w:tc>
          <w:tcPr>
            <w:tcW w:w="1215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334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340</w:t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4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330</w:t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38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330</w:t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11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9.716.113.498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1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382.463.900 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3,21 </w:t>
            </w:r>
          </w:p>
        </w:tc>
      </w:tr>
      <w:tr>
        <w:trPr>
          <w:trHeight w:val="1167" w:hRule="atLeast"/>
        </w:trPr>
        <w:tc>
          <w:tcPr>
            <w:tcW w:w="2682" w:type="dxa"/>
            <w:gridSpan w:val="4"/>
            <w:vMerge w:val="restart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67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Harga Penutupan</w:t>
            </w:r>
          </w:p>
        </w:tc>
        <w:tc>
          <w:tcPr>
            <w:tcW w:w="1163" w:type="dxa"/>
            <w:gridSpan w:val="2"/>
            <w:vMerge w:val="restart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vMerge w:val="restart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89" w:type="dxa"/>
            <w:tcBorders>
              <w:top w:val="single" w:sz="2" w:space="0" w:color="6F6F6E"/>
            </w:tcBorders>
            <w:vAlign w:val="bottom"/>
          </w:tcPr>
          <w:p>
            <w:pPr>
              <w:pStyle w:val="Normal"/>
              <w:widowControl/>
              <w:spacing w:lineRule="auto" w:line="254" w:before="0" w:after="0"/>
              <w:ind w:hanging="0" w:left="137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(Rp/lembar)</w:t>
            </w:r>
          </w:p>
        </w:tc>
      </w:tr>
      <w:tr>
        <w:trPr>
          <w:trHeight w:val="409" w:hRule="atLeast"/>
        </w:trPr>
        <w:tc>
          <w:tcPr>
            <w:tcW w:w="2682" w:type="dxa"/>
            <w:gridSpan w:val="4"/>
            <w:vMerge w:val="continue"/>
            <w:tcBorders>
              <w:top w:val="single" w:sz="2" w:space="0" w:color="6F6F6E"/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63" w:type="dxa"/>
            <w:gridSpan w:val="2"/>
            <w:vMerge w:val="continue"/>
            <w:tcBorders>
              <w:top w:val="single" w:sz="2" w:space="0" w:color="6F6F6E"/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vMerge w:val="continue"/>
            <w:tcBorders>
              <w:top w:val="single" w:sz="2" w:space="0" w:color="6F6F6E"/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770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160"/>
              <w:ind w:hanging="0" w:left="-451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381" w:type="dxa"/>
            <w:gridSpan w:val="2"/>
            <w:tcBorders>
              <w:bottom w:val="single" w:sz="2" w:space="0" w:color="6F6F6E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901" w:type="dxa"/>
            <w:tcBorders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2021</w:t>
            </w:r>
          </w:p>
        </w:tc>
        <w:tc>
          <w:tcPr>
            <w:tcW w:w="368" w:type="dxa"/>
            <w:gridSpan w:val="2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941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2020*</w:t>
            </w:r>
          </w:p>
        </w:tc>
        <w:tc>
          <w:tcPr>
            <w:tcW w:w="304" w:type="dxa"/>
            <w:gridSpan w:val="2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89" w:type="dxa"/>
            <w:tcBorders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2019*</w:t>
            </w:r>
          </w:p>
        </w:tc>
      </w:tr>
      <w:tr>
        <w:trPr>
          <w:trHeight w:val="352" w:hRule="atLeast"/>
        </w:trPr>
        <w:tc>
          <w:tcPr>
            <w:tcW w:w="2682" w:type="dxa"/>
            <w:gridSpan w:val="4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2.290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24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196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530</w:t>
            </w:r>
          </w:p>
        </w:tc>
      </w:tr>
      <w:tr>
        <w:trPr>
          <w:trHeight w:val="291" w:hRule="atLeast"/>
        </w:trPr>
        <w:tc>
          <w:tcPr>
            <w:tcW w:w="2682" w:type="dxa"/>
            <w:gridSpan w:val="4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2.300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24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308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505</w:t>
            </w:r>
          </w:p>
        </w:tc>
      </w:tr>
      <w:tr>
        <w:trPr>
          <w:trHeight w:val="291" w:hRule="atLeast"/>
        </w:trPr>
        <w:tc>
          <w:tcPr>
            <w:tcW w:w="2682" w:type="dxa"/>
            <w:gridSpan w:val="4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III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2.040 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24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750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8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404</w:t>
            </w:r>
          </w:p>
        </w:tc>
      </w:tr>
      <w:tr>
        <w:trPr>
          <w:trHeight w:val="291" w:hRule="atLeast"/>
        </w:trPr>
        <w:tc>
          <w:tcPr>
            <w:tcW w:w="2682" w:type="dxa"/>
            <w:gridSpan w:val="4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85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IV</w:t>
            </w:r>
          </w:p>
        </w:tc>
        <w:tc>
          <w:tcPr>
            <w:tcW w:w="1163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668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51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69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6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1.780</w:t>
            </w:r>
          </w:p>
        </w:tc>
        <w:tc>
          <w:tcPr>
            <w:tcW w:w="1245" w:type="dxa"/>
            <w:gridSpan w:val="3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06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2.250</w:t>
            </w:r>
          </w:p>
        </w:tc>
        <w:tc>
          <w:tcPr>
            <w:tcW w:w="1289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8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330</w:t>
            </w:r>
          </w:p>
        </w:tc>
      </w:tr>
    </w:tbl>
    <w:p>
      <w:pPr>
        <w:pStyle w:val="Normal"/>
        <w:numPr>
          <w:ilvl w:val="0"/>
          <w:numId w:val="1"/>
        </w:numPr>
        <w:spacing w:lineRule="auto" w:line="264" w:before="0" w:after="11"/>
        <w:ind w:hanging="71" w:left="141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>PT Bank BRIsyariah Tbk</w:t>
      </w:r>
    </w:p>
    <w:p>
      <w:pPr>
        <w:pStyle w:val="Normal"/>
        <w:tabs>
          <w:tab w:val="clear" w:pos="720"/>
          <w:tab w:val="right" w:pos="8986" w:leader="none"/>
        </w:tabs>
        <w:spacing w:lineRule="auto" w:line="264" w:before="0" w:after="3"/>
        <w:ind w:hanging="0" w:left="0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  <w:t>Volume Perdagangan</w:t>
        <w:tab/>
      </w:r>
      <w:r>
        <w:rPr>
          <w:rFonts w:cs="Times New Roman" w:ascii="Times New Roman" w:hAnsi="Times New Roman"/>
          <w:color w:val="auto"/>
          <w:sz w:val="20"/>
          <w:szCs w:val="20"/>
        </w:rPr>
        <w:t>(Lembar)</w:t>
      </w:r>
    </w:p>
    <w:tbl>
      <w:tblPr>
        <w:tblStyle w:val="TableGrid"/>
        <w:tblW w:w="9071" w:type="dxa"/>
        <w:jc w:val="left"/>
        <w:tblInd w:w="0" w:type="dxa"/>
        <w:tblLayout w:type="fixed"/>
        <w:tblCellMar>
          <w:top w:w="85" w:type="dxa"/>
          <w:left w:w="85" w:type="dxa"/>
          <w:bottom w:w="0" w:type="dxa"/>
          <w:right w:w="56" w:type="dxa"/>
        </w:tblCellMar>
        <w:tblLook w:firstRow="1" w:noVBand="1" w:lastRow="0" w:firstColumn="1" w:lastColumn="0" w:noHBand="0" w:val="04a0"/>
      </w:tblPr>
      <w:tblGrid>
        <w:gridCol w:w="4668"/>
        <w:gridCol w:w="1574"/>
        <w:gridCol w:w="1421"/>
        <w:gridCol w:w="1407"/>
      </w:tblGrid>
      <w:tr>
        <w:trPr>
          <w:trHeight w:val="410" w:hRule="atLeast"/>
        </w:trPr>
        <w:tc>
          <w:tcPr>
            <w:tcW w:w="4668" w:type="dxa"/>
            <w:tcBorders>
              <w:top w:val="single" w:sz="2" w:space="0" w:color="6F6F6E"/>
              <w:bottom w:val="double" w:sz="2" w:space="0" w:color="6F6F6E"/>
              <w:right w:val="single" w:sz="4" w:space="0" w:color="FFFFFF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16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574" w:type="dxa"/>
            <w:tcBorders>
              <w:top w:val="single" w:sz="2" w:space="0" w:color="009C9A"/>
              <w:left w:val="single" w:sz="4" w:space="0" w:color="FFFFFF"/>
              <w:bottom w:val="double" w:sz="2" w:space="0" w:color="009C9A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2021</w:t>
            </w:r>
          </w:p>
        </w:tc>
        <w:tc>
          <w:tcPr>
            <w:tcW w:w="1421" w:type="dxa"/>
            <w:tcBorders>
              <w:top w:val="single" w:sz="2" w:space="0" w:color="6F6F6E"/>
              <w:left w:val="single" w:sz="4" w:space="0" w:color="FFFFFF"/>
              <w:bottom w:val="double" w:sz="2" w:space="0" w:color="6F6F6E"/>
              <w:right w:val="single" w:sz="4" w:space="0" w:color="FFFFFF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2020*</w:t>
            </w:r>
          </w:p>
        </w:tc>
        <w:tc>
          <w:tcPr>
            <w:tcW w:w="1407" w:type="dxa"/>
            <w:tcBorders>
              <w:top w:val="single" w:sz="2" w:space="0" w:color="6F6F6E"/>
              <w:left w:val="single" w:sz="4" w:space="0" w:color="FFFFFF"/>
              <w:bottom w:val="doub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2019*</w:t>
            </w:r>
          </w:p>
        </w:tc>
      </w:tr>
      <w:tr>
        <w:trPr>
          <w:trHeight w:val="354" w:hRule="atLeast"/>
        </w:trPr>
        <w:tc>
          <w:tcPr>
            <w:tcW w:w="4668" w:type="dxa"/>
            <w:tcBorders>
              <w:top w:val="doub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</w:t>
            </w:r>
          </w:p>
        </w:tc>
        <w:tc>
          <w:tcPr>
            <w:tcW w:w="1574" w:type="dxa"/>
            <w:tcBorders>
              <w:top w:val="double" w:sz="2" w:space="0" w:color="009C9A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10.061.997.400 </w:t>
            </w:r>
          </w:p>
        </w:tc>
        <w:tc>
          <w:tcPr>
            <w:tcW w:w="1421" w:type="dxa"/>
            <w:tcBorders>
              <w:top w:val="doub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732.856.900 </w:t>
            </w:r>
          </w:p>
        </w:tc>
        <w:tc>
          <w:tcPr>
            <w:tcW w:w="1407" w:type="dxa"/>
            <w:tcBorders>
              <w:top w:val="doub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513.546.800 </w:t>
            </w:r>
          </w:p>
        </w:tc>
      </w:tr>
      <w:tr>
        <w:trPr>
          <w:trHeight w:val="291" w:hRule="atLeast"/>
        </w:trPr>
        <w:tc>
          <w:tcPr>
            <w:tcW w:w="4668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</w:t>
            </w:r>
          </w:p>
        </w:tc>
        <w:tc>
          <w:tcPr>
            <w:tcW w:w="1574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3.808.326.000 </w:t>
            </w:r>
          </w:p>
        </w:tc>
        <w:tc>
          <w:tcPr>
            <w:tcW w:w="1421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3.986.666.700 </w:t>
            </w:r>
          </w:p>
        </w:tc>
        <w:tc>
          <w:tcPr>
            <w:tcW w:w="140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575.097.000 </w:t>
            </w:r>
          </w:p>
        </w:tc>
      </w:tr>
      <w:tr>
        <w:trPr>
          <w:trHeight w:val="291" w:hRule="atLeast"/>
        </w:trPr>
        <w:tc>
          <w:tcPr>
            <w:tcW w:w="4668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III</w:t>
            </w:r>
          </w:p>
        </w:tc>
        <w:tc>
          <w:tcPr>
            <w:tcW w:w="1574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4.356.091.600 </w:t>
            </w:r>
          </w:p>
        </w:tc>
        <w:tc>
          <w:tcPr>
            <w:tcW w:w="1421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15.807.047.400 </w:t>
            </w:r>
          </w:p>
        </w:tc>
        <w:tc>
          <w:tcPr>
            <w:tcW w:w="140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363.572.400 </w:t>
            </w:r>
          </w:p>
        </w:tc>
      </w:tr>
      <w:tr>
        <w:trPr>
          <w:trHeight w:val="291" w:hRule="atLeast"/>
        </w:trPr>
        <w:tc>
          <w:tcPr>
            <w:tcW w:w="4668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Triwulan IV</w:t>
            </w:r>
          </w:p>
        </w:tc>
        <w:tc>
          <w:tcPr>
            <w:tcW w:w="1574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28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1.880.546.500</w:t>
            </w:r>
          </w:p>
        </w:tc>
        <w:tc>
          <w:tcPr>
            <w:tcW w:w="1421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15.875.453.300 </w:t>
            </w:r>
          </w:p>
        </w:tc>
        <w:tc>
          <w:tcPr>
            <w:tcW w:w="1407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382.463.900 </w:t>
            </w:r>
          </w:p>
        </w:tc>
      </w:tr>
    </w:tbl>
    <w:p>
      <w:pPr>
        <w:pStyle w:val="Normal"/>
        <w:ind w:hanging="0" w:left="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Normal"/>
        <w:spacing w:lineRule="auto" w:line="264" w:before="0" w:after="0"/>
        <w:ind w:hanging="10" w:left="-5" w:right="2225"/>
        <w:jc w:val="left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b/>
          <w:color w:val="auto"/>
          <w:sz w:val="20"/>
          <w:szCs w:val="20"/>
        </w:rPr>
        <w:t>Ikhtisar Obligasi, Sukuk, atau Lainnya</w:t>
      </w:r>
    </w:p>
    <w:tbl>
      <w:tblPr>
        <w:tblStyle w:val="TableGrid"/>
        <w:tblW w:w="90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81" w:type="dxa"/>
        </w:tblCellMar>
        <w:tblLook w:firstRow="1" w:noVBand="1" w:lastRow="0" w:firstColumn="1" w:lastColumn="0" w:noHBand="0" w:val="04a0"/>
      </w:tblPr>
      <w:tblGrid>
        <w:gridCol w:w="1378"/>
        <w:gridCol w:w="86"/>
        <w:gridCol w:w="1256"/>
        <w:gridCol w:w="166"/>
        <w:gridCol w:w="996"/>
        <w:gridCol w:w="86"/>
        <w:gridCol w:w="1018"/>
        <w:gridCol w:w="579"/>
        <w:gridCol w:w="832"/>
        <w:gridCol w:w="92"/>
        <w:gridCol w:w="1199"/>
        <w:gridCol w:w="125"/>
        <w:gridCol w:w="1252"/>
      </w:tblGrid>
      <w:tr>
        <w:trPr>
          <w:trHeight w:val="471" w:hRule="atLeast"/>
        </w:trPr>
        <w:tc>
          <w:tcPr>
            <w:tcW w:w="1378" w:type="dxa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PENERBITAN</w:t>
            </w:r>
          </w:p>
        </w:tc>
        <w:tc>
          <w:tcPr>
            <w:tcW w:w="1342" w:type="dxa"/>
            <w:gridSpan w:val="2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43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NAMA OBLIGASI</w:t>
            </w:r>
          </w:p>
        </w:tc>
        <w:tc>
          <w:tcPr>
            <w:tcW w:w="1162" w:type="dxa"/>
            <w:gridSpan w:val="2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 xml:space="preserve">NILAI </w:t>
            </w:r>
          </w:p>
          <w:p>
            <w:pPr>
              <w:pStyle w:val="Normal"/>
              <w:widowControl/>
              <w:spacing w:lineRule="auto" w:line="254" w:before="0" w:after="0"/>
              <w:ind w:hanging="0" w:left="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OBLIGASI</w:t>
            </w:r>
          </w:p>
        </w:tc>
        <w:tc>
          <w:tcPr>
            <w:tcW w:w="1104" w:type="dxa"/>
            <w:gridSpan w:val="2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21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JATUH TEMPO</w:t>
            </w:r>
          </w:p>
        </w:tc>
        <w:tc>
          <w:tcPr>
            <w:tcW w:w="1411" w:type="dxa"/>
            <w:gridSpan w:val="2"/>
            <w:vMerge w:val="restart"/>
            <w:tcBorders>
              <w:bottom w:val="single" w:sz="2" w:space="0" w:color="6F6F6E"/>
            </w:tcBorders>
            <w:shd w:color="auto" w:fill="F7AF2D" w:val="clear"/>
            <w:vAlign w:val="center"/>
          </w:tcPr>
          <w:p>
            <w:pPr>
              <w:pStyle w:val="Normal"/>
              <w:widowControl/>
              <w:spacing w:lineRule="auto" w:line="254" w:before="0" w:after="0"/>
              <w:ind w:hanging="0" w:left="197" w:right="192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SUKU BUNGA</w:t>
            </w:r>
          </w:p>
        </w:tc>
        <w:tc>
          <w:tcPr>
            <w:tcW w:w="2668" w:type="dxa"/>
            <w:gridSpan w:val="4"/>
            <w:tcBorders>
              <w:left w:val="single" w:sz="4" w:space="0" w:color="FFFFFF"/>
              <w:bottom w:val="single" w:sz="4" w:space="0" w:color="FFFFFF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PERINGKAT DAN LEMBAGA PEMERINGKAT</w:t>
            </w:r>
          </w:p>
        </w:tc>
      </w:tr>
      <w:tr>
        <w:trPr>
          <w:trHeight w:val="353" w:hRule="atLeast"/>
        </w:trPr>
        <w:tc>
          <w:tcPr>
            <w:tcW w:w="1378" w:type="dxa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342" w:type="dxa"/>
            <w:gridSpan w:val="2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62" w:type="dxa"/>
            <w:gridSpan w:val="2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104" w:type="dxa"/>
            <w:gridSpan w:val="2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411" w:type="dxa"/>
            <w:gridSpan w:val="2"/>
            <w:vMerge w:val="continue"/>
            <w:tcBorders>
              <w:bottom w:val="single" w:sz="2" w:space="0" w:color="6F6F6E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</w:r>
          </w:p>
        </w:tc>
        <w:tc>
          <w:tcPr>
            <w:tcW w:w="1291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6F6F6E"/>
              <w:right w:val="single" w:sz="4" w:space="0" w:color="FFFFFF"/>
            </w:tcBorders>
            <w:shd w:color="auto" w:fill="009C9A" w:val="clear"/>
          </w:tcPr>
          <w:p>
            <w:pPr>
              <w:pStyle w:val="Normal"/>
              <w:widowControl/>
              <w:spacing w:lineRule="auto" w:line="254" w:before="0" w:after="0"/>
              <w:ind w:hanging="0" w:left="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2021</w:t>
            </w:r>
          </w:p>
        </w:tc>
        <w:tc>
          <w:tcPr>
            <w:tcW w:w="1377" w:type="dxa"/>
            <w:gridSpan w:val="2"/>
            <w:tcBorders>
              <w:top w:val="single" w:sz="4" w:space="0" w:color="FFFFFF"/>
              <w:left w:val="single" w:sz="4" w:space="0" w:color="FFFFFF"/>
              <w:bottom w:val="single" w:sz="2" w:space="0" w:color="6F6F6E"/>
            </w:tcBorders>
            <w:shd w:color="auto" w:fill="F7AF2D" w:val="clear"/>
          </w:tcPr>
          <w:p>
            <w:pPr>
              <w:pStyle w:val="Normal"/>
              <w:widowControl/>
              <w:spacing w:lineRule="auto" w:line="254" w:before="0" w:after="0"/>
              <w:ind w:hanging="0" w:left="5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color w:val="auto"/>
                <w:kern w:val="2"/>
                <w:sz w:val="20"/>
                <w:szCs w:val="20"/>
                <w:lang w:val="en-ID" w:bidi="ar-SA"/>
              </w:rPr>
              <w:t>2020</w:t>
            </w:r>
          </w:p>
        </w:tc>
      </w:tr>
      <w:tr>
        <w:trPr>
          <w:trHeight w:val="1466" w:hRule="atLeast"/>
        </w:trPr>
        <w:tc>
          <w:tcPr>
            <w:tcW w:w="1464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3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2016</w:t>
            </w:r>
          </w:p>
        </w:tc>
        <w:tc>
          <w:tcPr>
            <w:tcW w:w="1422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Sukuk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Mudharabah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Subordinasi 1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Tahun 2016 PT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Bank Syariah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Indonsia Tbk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(d.h PT Bank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BRIsyariah </w:t>
            </w:r>
          </w:p>
        </w:tc>
        <w:tc>
          <w:tcPr>
            <w:tcW w:w="1082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73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Rp1 Triliun</w:t>
            </w:r>
          </w:p>
        </w:tc>
        <w:tc>
          <w:tcPr>
            <w:tcW w:w="1597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16 November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2023</w:t>
            </w:r>
          </w:p>
        </w:tc>
        <w:tc>
          <w:tcPr>
            <w:tcW w:w="924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9,5%</w:t>
            </w:r>
          </w:p>
        </w:tc>
        <w:tc>
          <w:tcPr>
            <w:tcW w:w="1324" w:type="dxa"/>
            <w:gridSpan w:val="2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59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A+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(PT Fitch Ratings </w:t>
            </w:r>
          </w:p>
          <w:p>
            <w:pPr>
              <w:pStyle w:val="Normal"/>
              <w:widowControl/>
              <w:spacing w:lineRule="auto" w:line="254" w:before="0" w:after="0"/>
              <w:ind w:hanging="0" w:left="21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Indonesia)</w:t>
            </w:r>
          </w:p>
        </w:tc>
        <w:tc>
          <w:tcPr>
            <w:tcW w:w="1252" w:type="dxa"/>
            <w:tcBorders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 w:right="29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A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(PT Fitch Ratings </w:t>
            </w:r>
          </w:p>
          <w:p>
            <w:pPr>
              <w:pStyle w:val="Normal"/>
              <w:widowControl/>
              <w:spacing w:lineRule="auto" w:line="254" w:before="0" w:after="0"/>
              <w:ind w:hanging="0" w:left="21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Indonesia)</w:t>
            </w:r>
          </w:p>
        </w:tc>
      </w:tr>
      <w:tr>
        <w:trPr>
          <w:trHeight w:val="1371" w:hRule="atLeast"/>
        </w:trPr>
        <w:tc>
          <w:tcPr>
            <w:tcW w:w="1464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3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2016</w:t>
            </w:r>
          </w:p>
        </w:tc>
        <w:tc>
          <w:tcPr>
            <w:tcW w:w="1422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Sukuk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Mudharabah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Subordinasi  Tahun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2016 PT Bank </w:t>
            </w:r>
          </w:p>
          <w:p>
            <w:pPr>
              <w:pStyle w:val="Normal"/>
              <w:widowControl/>
              <w:spacing w:lineRule="auto" w:line="235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Syariah Indonesia Tbk (d.h PT Bank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Syariah Mandiri)</w:t>
            </w:r>
          </w:p>
        </w:tc>
        <w:tc>
          <w:tcPr>
            <w:tcW w:w="1082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Rp375 Miliar</w:t>
            </w:r>
          </w:p>
        </w:tc>
        <w:tc>
          <w:tcPr>
            <w:tcW w:w="1597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 xml:space="preserve">22 Desember </w:t>
            </w:r>
          </w:p>
          <w:p>
            <w:pPr>
              <w:pStyle w:val="Normal"/>
              <w:widowControl/>
              <w:spacing w:lineRule="auto" w:line="254" w:before="0" w:after="0"/>
              <w:ind w:hanging="0" w:left="0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2023</w:t>
            </w:r>
          </w:p>
        </w:tc>
        <w:tc>
          <w:tcPr>
            <w:tcW w:w="924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16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10%</w:t>
            </w:r>
          </w:p>
        </w:tc>
        <w:tc>
          <w:tcPr>
            <w:tcW w:w="1324" w:type="dxa"/>
            <w:gridSpan w:val="2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5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AA</w:t>
            </w:r>
          </w:p>
          <w:p>
            <w:pPr>
              <w:pStyle w:val="Normal"/>
              <w:widowControl/>
              <w:spacing w:lineRule="auto" w:line="254" w:before="0" w:after="0"/>
              <w:ind w:hanging="0" w:left="182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(PEFINDO)</w:t>
            </w:r>
          </w:p>
        </w:tc>
        <w:tc>
          <w:tcPr>
            <w:tcW w:w="1252" w:type="dxa"/>
            <w:tcBorders>
              <w:top w:val="single" w:sz="2" w:space="0" w:color="6F6F6E"/>
              <w:bottom w:val="single" w:sz="2" w:space="0" w:color="6F6F6E"/>
            </w:tcBorders>
          </w:tcPr>
          <w:p>
            <w:pPr>
              <w:pStyle w:val="Normal"/>
              <w:widowControl/>
              <w:spacing w:lineRule="auto" w:line="254" w:before="0" w:after="0"/>
              <w:ind w:hanging="0" w:left="428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AA-</w:t>
            </w:r>
          </w:p>
          <w:p>
            <w:pPr>
              <w:pStyle w:val="Normal"/>
              <w:widowControl/>
              <w:spacing w:lineRule="auto" w:line="254" w:before="0" w:after="0"/>
              <w:ind w:hanging="0" w:left="183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auto"/>
                <w:kern w:val="2"/>
                <w:sz w:val="20"/>
                <w:szCs w:val="20"/>
                <w:lang w:val="en-ID" w:bidi="ar-SA"/>
              </w:rPr>
              <w:t>(PEFINDO)</w:t>
            </w:r>
          </w:p>
        </w:tc>
      </w:tr>
    </w:tbl>
    <w:p>
      <w:pPr>
        <w:pStyle w:val="Normal"/>
        <w:spacing w:before="0" w:after="10"/>
        <w:ind w:hanging="0"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141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6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8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0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2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4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6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8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05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12"/>
        <w:sz w:val="12"/>
        <w:i w:val="false"/>
        <w:u w:val="none" w:color="000000"/>
        <w:b w:val="false"/>
        <w:effect w:val="none"/>
        <w:szCs w:val="12"/>
        <w:color w:val="3C3C3B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2270"/>
    <w:pPr>
      <w:widowControl/>
      <w:bidi w:val="0"/>
      <w:spacing w:lineRule="auto" w:line="266" w:before="0" w:after="10"/>
      <w:ind w:hanging="9" w:left="9"/>
      <w:jc w:val="both"/>
    </w:pPr>
    <w:rPr>
      <w:rFonts w:ascii="Calibri" w:hAnsi="Calibri" w:eastAsia="Calibri" w:cs="Calibri"/>
      <w:color w:val="3C3C3B"/>
      <w:kern w:val="2"/>
      <w:sz w:val="17"/>
      <w:szCs w:val="22"/>
      <w:lang w:eastAsia="en-ID" w:val="en-ID" w:bidi="ar-SA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d2270"/>
    <w:pPr>
      <w:keepNext w:val="true"/>
      <w:keepLines/>
      <w:widowControl/>
      <w:bidi w:val="0"/>
      <w:spacing w:lineRule="auto" w:line="254" w:before="0" w:after="0"/>
      <w:ind w:hanging="10" w:left="10"/>
      <w:jc w:val="left"/>
      <w:outlineLvl w:val="1"/>
    </w:pPr>
    <w:rPr>
      <w:rFonts w:ascii="Calibri" w:hAnsi="Calibri" w:eastAsia="Calibri" w:cs="Calibri"/>
      <w:b/>
      <w:color w:val="009C9A"/>
      <w:kern w:val="2"/>
      <w:sz w:val="18"/>
      <w:szCs w:val="22"/>
      <w:lang w:eastAsia="en-ID" w:val="en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d2270"/>
    <w:rPr>
      <w:rFonts w:ascii="Calibri" w:hAnsi="Calibri" w:eastAsia="Calibri" w:cs="Calibri"/>
      <w:b/>
      <w:color w:val="009C9A"/>
      <w:sz w:val="18"/>
      <w:lang w:eastAsia="en-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d2270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9A94-9CF8-46D5-A8B9-6233BCB5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LibreOffice/7.6.2.1$Windows_X86_64 LibreOffice_project/56f7684011345957bbf33a7ee678afaf4d2ba333</Application>
  <AppVersion>15.0000</AppVersion>
  <Pages>8</Pages>
  <Words>961</Words>
  <Characters>6232</Characters>
  <CharactersWithSpaces>7750</CharactersWithSpaces>
  <Paragraphs>588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2024-01-11T03:00:00Z</dcterms:created>
  <dc:creator>nina agustini</dc:creator>
  <dc:description/>
  <dc:language>id-ID</dc:language>
  <cp:lastModifiedBy/>
  <dcterms:modified xsi:type="dcterms:W3CDTF">2024-01-11T10:48:05Z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