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rFonts w:ascii="Calibri" w:cs="Calibri" w:eastAsia="Calibri" w:hAnsi="Calibri"/>
          <w:b/>
          <w:bCs/>
          <w:sz w:val="44"/>
          <w:szCs w:val="44"/>
        </w:rPr>
        <w:t xml:space="preserve">Retail Sales Data Warehouse</w:t>
      </w:r>
    </w:p>
    <w:p>
      <w:pPr>
        <w:spacing w:after="400"/>
      </w:pPr>
      <w:r>
        <w:rPr>
          <w:rFonts w:ascii="Calibri" w:cs="Calibri" w:eastAsia="Calibri" w:hAnsi="Calibri"/>
          <w:color w:val="444444"/>
          <w:sz w:val="28"/>
          <w:szCs w:val="28"/>
        </w:rPr>
        <w:t xml:space="preserve">Medallion Architecture on Databricks (Bronze → Silver → Gold)</w:t>
      </w:r>
    </w:p>
    <w:p>
      <w:pPr>
        <w:spacing w:after="160"/>
      </w:pPr>
      <w:r>
        <w:rPr>
          <w:rFonts w:ascii="Calibri" w:cs="Calibri" w:eastAsia="Calibri" w:hAnsi="Calibri"/>
          <w:sz w:val="22"/>
          <w:szCs w:val="22"/>
        </w:rPr>
        <w:t xml:space="preserve">Portfolio project report — covers project scope, source schema, data quality findings, and the reasoning and implementation behind every layer of the pipeline.</w:t>
      </w:r>
    </w:p>
    <w:p>
      <w:pPr>
        <w:pStyle w:val="Heading1"/>
        <w:spacing w:after="200" w:before="400"/>
      </w:pPr>
      <w:r>
        <w:t xml:space="preserve">1. Overview</w:t>
      </w:r>
    </w:p>
    <w:p>
      <w:pPr>
        <w:spacing w:after="160"/>
      </w:pPr>
      <w:r>
        <w:rPr>
          <w:rFonts w:ascii="Calibri" w:cs="Calibri" w:eastAsia="Calibri" w:hAnsi="Calibri"/>
          <w:sz w:val="22"/>
          <w:szCs w:val="22"/>
        </w:rPr>
        <w:t xml:space="preserve">This project integrates two independent source systems — a CRM and an ERP system — into a single, query-ready data warehouse. Both systems ship raw CSV exports with real data quality problems: inconsistent codes, duplicate records, unreliable dates, and mismatched join keys. The goal is a warehouse where none of that mess is visible to a downstream analyst — they query a clean star schema and get correct numbers.</w:t>
      </w:r>
    </w:p>
    <w:p>
      <w:pPr>
        <w:spacing w:after="160"/>
      </w:pPr>
      <w:r>
        <w:rPr>
          <w:rFonts w:ascii="Calibri" w:cs="Calibri" w:eastAsia="Calibri" w:hAnsi="Calibri"/>
          <w:sz w:val="22"/>
          <w:szCs w:val="22"/>
        </w:rPr>
        <w:t xml:space="preserve">The build follows the Medallion pattern: three layers, each with exactly one job, so that raw ingestion, cleaning logic, and reporting shape are never tangled together in the same step.</w:t>
      </w:r>
    </w:p>
    <w:p>
      <w:pPr>
        <w:pStyle w:val="Heading2"/>
        <w:spacing w:after="150" w:before="300"/>
      </w:pPr>
      <w:r>
        <w:t xml:space="preserve">1.1 Architecture</w:t>
      </w:r>
    </w:p>
    <w:p>
      <w:pPr>
        <w:spacing w:after="160"/>
      </w:pPr>
      <w:r>
        <w:rPr>
          <w:rFonts w:ascii="Calibri" w:cs="Calibri" w:eastAsia="Calibri" w:hAnsi="Calibri"/>
          <w:sz w:val="22"/>
          <w:szCs w:val="22"/>
        </w:rPr>
        <w:t xml:space="preserve">Text description of the data flow, since an image would only restate this:</w:t>
      </w:r>
    </w:p>
    <w:p>
      <w:pPr>
        <w:pBdr>
          <w:top w:val="single" w:color="CCCCCC" w:sz="4"/>
          <w:bottom w:val="single" w:color="CCCCCC" w:sz="4"/>
          <w:left w:val="single" w:color="CCCCCC" w:sz="4"/>
          <w:right w:val="single" w:color="CCCCCC" w:sz="4"/>
        </w:pBdr>
        <w:shd w:fill="F2F2F2" w:val="clear"/>
        <w:spacing w:after="200" w:before="100"/>
      </w:pPr>
      <w:r>
        <w:rPr>
          <w:rFonts w:ascii="Consolas" w:cs="Consolas" w:eastAsia="Consolas" w:hAnsi="Consolas"/>
          <w:sz w:val="18"/>
          <w:szCs w:val="18"/>
        </w:rPr>
        <w:t xml:space="preserve">CRM CSVs ──┐</w:t>
      </w:r>
      <w:r>
        <w:br/>
      </w:r>
      <w:r>
        <w:rPr>
          <w:rFonts w:ascii="Consolas" w:cs="Consolas" w:eastAsia="Consolas" w:hAnsi="Consolas"/>
          <w:sz w:val="18"/>
          <w:szCs w:val="18"/>
        </w:rPr>
        <w:t xml:space="preserve">           ├──▶  BRONZE  ──▶  SILVER  ──▶  GOLD (star schema)</w:t>
      </w:r>
      <w:r>
        <w:br/>
      </w:r>
      <w:r>
        <w:rPr>
          <w:rFonts w:ascii="Consolas" w:cs="Consolas" w:eastAsia="Consolas" w:hAnsi="Consolas"/>
          <w:sz w:val="18"/>
          <w:szCs w:val="18"/>
        </w:rPr>
        <w:t xml:space="preserve">ERP CSVs ──┘        (raw copy)   (cleaned,     (dim_customers,</w:t>
      </w:r>
      <w:r>
        <w:br/>
      </w:r>
      <w:r>
        <w:rPr>
          <w:rFonts w:ascii="Consolas" w:cs="Consolas" w:eastAsia="Consolas" w:hAnsi="Consolas"/>
          <w:sz w:val="18"/>
          <w:szCs w:val="18"/>
        </w:rPr>
        <w:t xml:space="preserve">                                        deduped,      dim_products,</w:t>
      </w:r>
      <w:r>
        <w:br/>
      </w:r>
      <w:r>
        <w:rPr>
          <w:rFonts w:ascii="Consolas" w:cs="Consolas" w:eastAsia="Consolas" w:hAnsi="Consolas"/>
          <w:sz w:val="18"/>
          <w:szCs w:val="18"/>
        </w:rPr>
        <w:t xml:space="preserve">                                        standardized)  fact_sales)</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Volume            Delta tables    Delta tables    Delta tables</w:t>
      </w:r>
      <w:r>
        <w:br/>
      </w:r>
      <w:r>
        <w:rPr>
          <w:rFonts w:ascii="Consolas" w:cs="Consolas" w:eastAsia="Consolas" w:hAnsi="Consolas"/>
          <w:sz w:val="18"/>
          <w:szCs w:val="18"/>
        </w:rPr>
        <w:t xml:space="preserve">(landing zone)     6 tables        6 tables        3 tables</w:t>
      </w:r>
    </w:p>
    <w:p>
      <w:pPr>
        <w:spacing w:after="160"/>
      </w:pPr>
      <w:r>
        <w:rPr>
          <w:rFonts w:ascii="Calibri" w:cs="Calibri" w:eastAsia="Calibri" w:hAnsi="Calibri"/>
          <w:sz w:val="22"/>
          <w:szCs w:val="22"/>
        </w:rPr>
        <w:t xml:space="preserve">Bronze: an untransformed, one-to-one copy of each source CSV as a Delta table — the audit trail back to “what did the source actually say.”</w:t>
      </w:r>
    </w:p>
    <w:p>
      <w:pPr>
        <w:spacing w:after="160"/>
      </w:pPr>
      <w:r>
        <w:rPr>
          <w:rFonts w:ascii="Calibri" w:cs="Calibri" w:eastAsia="Calibri" w:hAnsi="Calibri"/>
          <w:sz w:val="22"/>
          <w:szCs w:val="22"/>
        </w:rPr>
        <w:t xml:space="preserve">Silver: the same six tables, cleaned — duplicates resolved, codes translated, dates and numbers fixed, every rule traceable to a specific finding (see section 3).</w:t>
      </w:r>
    </w:p>
    <w:p>
      <w:pPr>
        <w:spacing w:after="160"/>
      </w:pPr>
      <w:r>
        <w:rPr>
          <w:rFonts w:ascii="Calibri" w:cs="Calibri" w:eastAsia="Calibri" w:hAnsi="Calibri"/>
          <w:sz w:val="22"/>
          <w:szCs w:val="22"/>
        </w:rPr>
        <w:t xml:space="preserve">Gold: the six Silver tables reshaped into a star schema — two dimensions and one fact table — built for reporting rather than for matching the source structure.</w:t>
      </w:r>
    </w:p>
    <w:p>
      <w:pPr>
        <w:pStyle w:val="Heading2"/>
        <w:spacing w:after="150" w:before="300"/>
      </w:pPr>
      <w:r>
        <w:t xml:space="preserve">1.2 Tech stack</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800"/>
      </w:tblGrid>
      <w:tr>
        <w:tc>
          <w:tcPr>
            <w:tcW w:type="dxa" w:w="2200"/>
            <w:shd w:fill="1F3864" w:val="clear"/>
          </w:tcPr>
          <w:p>
            <w:r>
              <w:rPr>
                <w:rFonts w:ascii="Calibri" w:cs="Calibri" w:eastAsia="Calibri" w:hAnsi="Calibri"/>
                <w:b/>
                <w:bCs/>
                <w:color w:val="FFFFFF"/>
                <w:sz w:val="20"/>
                <w:szCs w:val="20"/>
              </w:rPr>
              <w:t xml:space="preserve">Component</w:t>
            </w:r>
          </w:p>
        </w:tc>
        <w:tc>
          <w:tcPr>
            <w:tcW w:type="dxa" w:w="3600"/>
            <w:shd w:fill="1F3864" w:val="clear"/>
          </w:tcPr>
          <w:p>
            <w:r>
              <w:rPr>
                <w:rFonts w:ascii="Calibri" w:cs="Calibri" w:eastAsia="Calibri" w:hAnsi="Calibri"/>
                <w:b/>
                <w:bCs/>
                <w:color w:val="FFFFFF"/>
                <w:sz w:val="20"/>
                <w:szCs w:val="20"/>
              </w:rPr>
              <w:t xml:space="preserve">Choice</w:t>
            </w:r>
          </w:p>
        </w:tc>
        <w:tc>
          <w:tcPr>
            <w:tcW w:type="dxa" w:w="3800"/>
            <w:shd w:fill="1F3864" w:val="clear"/>
          </w:tcPr>
          <w:p>
            <w:r>
              <w:rPr>
                <w:rFonts w:ascii="Calibri" w:cs="Calibri" w:eastAsia="Calibri" w:hAnsi="Calibri"/>
                <w:b/>
                <w:bCs/>
                <w:color w:val="FFFFFF"/>
                <w:sz w:val="20"/>
                <w:szCs w:val="20"/>
              </w:rPr>
              <w:t xml:space="preserve">Why</w:t>
            </w:r>
          </w:p>
        </w:tc>
      </w:tr>
      <w:tr>
        <w:tc>
          <w:tcPr>
            <w:tcW w:type="dxa" w:w="2200"/>
          </w:tcPr>
          <w:p>
            <w:r>
              <w:rPr>
                <w:rFonts w:ascii="Calibri" w:cs="Calibri" w:eastAsia="Calibri" w:hAnsi="Calibri"/>
                <w:b w:val="false"/>
                <w:bCs w:val="false"/>
                <w:color w:val="000000"/>
                <w:sz w:val="20"/>
                <w:szCs w:val="20"/>
              </w:rPr>
              <w:t xml:space="preserve">Platform</w:t>
            </w:r>
          </w:p>
        </w:tc>
        <w:tc>
          <w:tcPr>
            <w:tcW w:type="dxa" w:w="3600"/>
          </w:tcPr>
          <w:p>
            <w:r>
              <w:rPr>
                <w:rFonts w:ascii="Calibri" w:cs="Calibri" w:eastAsia="Calibri" w:hAnsi="Calibri"/>
                <w:b w:val="false"/>
                <w:bCs w:val="false"/>
                <w:color w:val="000000"/>
                <w:sz w:val="20"/>
                <w:szCs w:val="20"/>
              </w:rPr>
              <w:t xml:space="preserve">Databricks Free Edition</w:t>
            </w:r>
          </w:p>
        </w:tc>
        <w:tc>
          <w:tcPr>
            <w:tcW w:type="dxa" w:w="3800"/>
          </w:tcPr>
          <w:p>
            <w:r>
              <w:rPr>
                <w:rFonts w:ascii="Calibri" w:cs="Calibri" w:eastAsia="Calibri" w:hAnsi="Calibri"/>
                <w:b w:val="false"/>
                <w:bCs w:val="false"/>
                <w:color w:val="000000"/>
                <w:sz w:val="20"/>
                <w:szCs w:val="20"/>
              </w:rPr>
              <w:t xml:space="preserve">Unity Catalog, serverless compute, Volumes — no cluster or server to manage</w:t>
            </w:r>
          </w:p>
        </w:tc>
      </w:tr>
      <w:tr>
        <w:tc>
          <w:tcPr>
            <w:tcW w:type="dxa" w:w="2200"/>
          </w:tcPr>
          <w:p>
            <w:r>
              <w:rPr>
                <w:rFonts w:ascii="Calibri" w:cs="Calibri" w:eastAsia="Calibri" w:hAnsi="Calibri"/>
                <w:b w:val="false"/>
                <w:bCs w:val="false"/>
                <w:color w:val="000000"/>
                <w:sz w:val="20"/>
                <w:szCs w:val="20"/>
              </w:rPr>
              <w:t xml:space="preserve">Catalog</w:t>
            </w:r>
          </w:p>
        </w:tc>
        <w:tc>
          <w:tcPr>
            <w:tcW w:type="dxa" w:w="3600"/>
          </w:tcPr>
          <w:p>
            <w:r>
              <w:rPr>
                <w:rFonts w:ascii="Calibri" w:cs="Calibri" w:eastAsia="Calibri" w:hAnsi="Calibri"/>
                <w:b w:val="false"/>
                <w:bCs w:val="false"/>
                <w:color w:val="000000"/>
                <w:sz w:val="20"/>
                <w:szCs w:val="20"/>
              </w:rPr>
              <w:t xml:space="preserve">Unity Catalog (retail_dwh.bronze/silver/gold)</w:t>
            </w:r>
          </w:p>
        </w:tc>
        <w:tc>
          <w:tcPr>
            <w:tcW w:type="dxa" w:w="3800"/>
          </w:tcPr>
          <w:p>
            <w:r>
              <w:rPr>
                <w:rFonts w:ascii="Calibri" w:cs="Calibri" w:eastAsia="Calibri" w:hAnsi="Calibri"/>
                <w:b w:val="false"/>
                <w:bCs w:val="false"/>
                <w:color w:val="000000"/>
                <w:sz w:val="20"/>
                <w:szCs w:val="20"/>
              </w:rPr>
              <w:t xml:space="preserve">Namespacing and access control across the three layers</w:t>
            </w:r>
          </w:p>
        </w:tc>
      </w:tr>
      <w:tr>
        <w:tc>
          <w:tcPr>
            <w:tcW w:type="dxa" w:w="2200"/>
          </w:tcPr>
          <w:p>
            <w:r>
              <w:rPr>
                <w:rFonts w:ascii="Calibri" w:cs="Calibri" w:eastAsia="Calibri" w:hAnsi="Calibri"/>
                <w:b w:val="false"/>
                <w:bCs w:val="false"/>
                <w:color w:val="000000"/>
                <w:sz w:val="20"/>
                <w:szCs w:val="20"/>
              </w:rPr>
              <w:t xml:space="preserve">Storage format</w:t>
            </w:r>
          </w:p>
        </w:tc>
        <w:tc>
          <w:tcPr>
            <w:tcW w:type="dxa" w:w="3600"/>
          </w:tcPr>
          <w:p>
            <w:r>
              <w:rPr>
                <w:rFonts w:ascii="Calibri" w:cs="Calibri" w:eastAsia="Calibri" w:hAnsi="Calibri"/>
                <w:b w:val="false"/>
                <w:bCs w:val="false"/>
                <w:color w:val="000000"/>
                <w:sz w:val="20"/>
                <w:szCs w:val="20"/>
              </w:rPr>
              <w:t xml:space="preserve">Delta Lake</w:t>
            </w:r>
          </w:p>
        </w:tc>
        <w:tc>
          <w:tcPr>
            <w:tcW w:type="dxa" w:w="3800"/>
          </w:tcPr>
          <w:p>
            <w:r>
              <w:rPr>
                <w:rFonts w:ascii="Calibri" w:cs="Calibri" w:eastAsia="Calibri" w:hAnsi="Calibri"/>
                <w:b w:val="false"/>
                <w:bCs w:val="false"/>
                <w:color w:val="000000"/>
                <w:sz w:val="20"/>
                <w:szCs w:val="20"/>
              </w:rPr>
              <w:t xml:space="preserve">ACID writes — an overwrite either fully succeeds or fully fails, never a half-loaded table</w:t>
            </w:r>
          </w:p>
        </w:tc>
      </w:tr>
      <w:tr>
        <w:tc>
          <w:tcPr>
            <w:tcW w:type="dxa" w:w="2200"/>
          </w:tcPr>
          <w:p>
            <w:r>
              <w:rPr>
                <w:rFonts w:ascii="Calibri" w:cs="Calibri" w:eastAsia="Calibri" w:hAnsi="Calibri"/>
                <w:b w:val="false"/>
                <w:bCs w:val="false"/>
                <w:color w:val="000000"/>
                <w:sz w:val="20"/>
                <w:szCs w:val="20"/>
              </w:rPr>
              <w:t xml:space="preserve">Transform logic</w:t>
            </w:r>
          </w:p>
        </w:tc>
        <w:tc>
          <w:tcPr>
            <w:tcW w:type="dxa" w:w="3600"/>
          </w:tcPr>
          <w:p>
            <w:r>
              <w:rPr>
                <w:rFonts w:ascii="Calibri" w:cs="Calibri" w:eastAsia="Calibri" w:hAnsi="Calibri"/>
                <w:b w:val="false"/>
                <w:bCs w:val="false"/>
                <w:color w:val="000000"/>
                <w:sz w:val="20"/>
                <w:szCs w:val="20"/>
              </w:rPr>
              <w:t xml:space="preserve">pandas</w:t>
            </w:r>
          </w:p>
        </w:tc>
        <w:tc>
          <w:tcPr>
            <w:tcW w:type="dxa" w:w="3800"/>
          </w:tcPr>
          <w:p>
            <w:r>
              <w:rPr>
                <w:rFonts w:ascii="Calibri" w:cs="Calibri" w:eastAsia="Calibri" w:hAnsi="Calibri"/>
                <w:b w:val="false"/>
                <w:bCs w:val="false"/>
                <w:color w:val="000000"/>
                <w:sz w:val="20"/>
                <w:szCs w:val="20"/>
              </w:rPr>
              <w:t xml:space="preserve">All cleaning/merge logic; Spark is used only for Unity Catalog operations and the final Delta write</w:t>
            </w:r>
          </w:p>
        </w:tc>
      </w:tr>
    </w:tbl>
    <w:p>
      <w:r>
        <w:br w:type="page"/>
      </w:r>
    </w:p>
    <w:p>
      <w:pPr>
        <w:pStyle w:val="Heading1"/>
        <w:spacing w:after="200" w:before="400"/>
      </w:pPr>
      <w:r>
        <w:t xml:space="preserve">2. Source Schema Design</w:t>
      </w:r>
    </w:p>
    <w:p>
      <w:pPr>
        <w:spacing w:after="160"/>
      </w:pPr>
      <w:r>
        <w:rPr>
          <w:rFonts w:ascii="Calibri" w:cs="Calibri" w:eastAsia="Calibri" w:hAnsi="Calibri"/>
          <w:sz w:val="22"/>
          <w:szCs w:val="22"/>
        </w:rPr>
        <w:t xml:space="preserve">Six raw tables across two systems, designed and documented before any cleaning logic was written (full version in docs/source_schema_design.md):</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200"/>
        <w:gridCol w:w="1600"/>
        <w:gridCol w:w="4800"/>
      </w:tblGrid>
      <w:tr>
        <w:tc>
          <w:tcPr>
            <w:tcW w:type="dxa" w:w="3200"/>
            <w:shd w:fill="1F3864" w:val="clear"/>
          </w:tcPr>
          <w:p>
            <w:r>
              <w:rPr>
                <w:rFonts w:ascii="Calibri" w:cs="Calibri" w:eastAsia="Calibri" w:hAnsi="Calibri"/>
                <w:b/>
                <w:bCs/>
                <w:color w:val="FFFFFF"/>
                <w:sz w:val="20"/>
                <w:szCs w:val="20"/>
              </w:rPr>
              <w:t xml:space="preserve">Table</w:t>
            </w:r>
          </w:p>
        </w:tc>
        <w:tc>
          <w:tcPr>
            <w:tcW w:type="dxa" w:w="1600"/>
            <w:shd w:fill="1F3864" w:val="clear"/>
          </w:tcPr>
          <w:p>
            <w:r>
              <w:rPr>
                <w:rFonts w:ascii="Calibri" w:cs="Calibri" w:eastAsia="Calibri" w:hAnsi="Calibri"/>
                <w:b/>
                <w:bCs/>
                <w:color w:val="FFFFFF"/>
                <w:sz w:val="20"/>
                <w:szCs w:val="20"/>
              </w:rPr>
              <w:t xml:space="preserve">System</w:t>
            </w:r>
          </w:p>
        </w:tc>
        <w:tc>
          <w:tcPr>
            <w:tcW w:type="dxa" w:w="4800"/>
            <w:shd w:fill="1F3864" w:val="clear"/>
          </w:tcPr>
          <w:p>
            <w:r>
              <w:rPr>
                <w:rFonts w:ascii="Calibri" w:cs="Calibri" w:eastAsia="Calibri" w:hAnsi="Calibri"/>
                <w:b/>
                <w:bCs/>
                <w:color w:val="FFFFFF"/>
                <w:sz w:val="20"/>
                <w:szCs w:val="20"/>
              </w:rPr>
              <w:t xml:space="preserve">Grain</w:t>
            </w:r>
          </w:p>
        </w:tc>
      </w:tr>
      <w:tr>
        <w:tc>
          <w:tcPr>
            <w:tcW w:type="dxa" w:w="3200"/>
          </w:tcPr>
          <w:p>
            <w:r>
              <w:rPr>
                <w:rFonts w:ascii="Calibri" w:cs="Calibri" w:eastAsia="Calibri" w:hAnsi="Calibri"/>
                <w:b w:val="false"/>
                <w:bCs w:val="false"/>
                <w:color w:val="000000"/>
                <w:sz w:val="20"/>
                <w:szCs w:val="20"/>
              </w:rPr>
              <w:t xml:space="preserve">crm_cust_info</w:t>
            </w:r>
          </w:p>
        </w:tc>
        <w:tc>
          <w:tcPr>
            <w:tcW w:type="dxa" w:w="1600"/>
          </w:tcPr>
          <w:p>
            <w:r>
              <w:rPr>
                <w:rFonts w:ascii="Calibri" w:cs="Calibri" w:eastAsia="Calibri" w:hAnsi="Calibri"/>
                <w:b w:val="false"/>
                <w:bCs w:val="false"/>
                <w:color w:val="000000"/>
                <w:sz w:val="20"/>
                <w:szCs w:val="20"/>
              </w:rPr>
              <w:t xml:space="preserve">CRM</w:t>
            </w:r>
          </w:p>
        </w:tc>
        <w:tc>
          <w:tcPr>
            <w:tcW w:type="dxa" w:w="4800"/>
          </w:tcPr>
          <w:p>
            <w:r>
              <w:rPr>
                <w:rFonts w:ascii="Calibri" w:cs="Calibri" w:eastAsia="Calibri" w:hAnsi="Calibri"/>
                <w:b w:val="false"/>
                <w:bCs w:val="false"/>
                <w:color w:val="000000"/>
                <w:sz w:val="20"/>
                <w:szCs w:val="20"/>
              </w:rPr>
              <w:t xml:space="preserve">One row per customer change event (not unique per customer)</w:t>
            </w:r>
          </w:p>
        </w:tc>
      </w:tr>
      <w:tr>
        <w:tc>
          <w:tcPr>
            <w:tcW w:type="dxa" w:w="3200"/>
          </w:tcPr>
          <w:p>
            <w:r>
              <w:rPr>
                <w:rFonts w:ascii="Calibri" w:cs="Calibri" w:eastAsia="Calibri" w:hAnsi="Calibri"/>
                <w:b w:val="false"/>
                <w:bCs w:val="false"/>
                <w:color w:val="000000"/>
                <w:sz w:val="20"/>
                <w:szCs w:val="20"/>
              </w:rPr>
              <w:t xml:space="preserve">crm_prd_info</w:t>
            </w:r>
          </w:p>
        </w:tc>
        <w:tc>
          <w:tcPr>
            <w:tcW w:type="dxa" w:w="1600"/>
          </w:tcPr>
          <w:p>
            <w:r>
              <w:rPr>
                <w:rFonts w:ascii="Calibri" w:cs="Calibri" w:eastAsia="Calibri" w:hAnsi="Calibri"/>
                <w:b w:val="false"/>
                <w:bCs w:val="false"/>
                <w:color w:val="000000"/>
                <w:sz w:val="20"/>
                <w:szCs w:val="20"/>
              </w:rPr>
              <w:t xml:space="preserve">CRM</w:t>
            </w:r>
          </w:p>
        </w:tc>
        <w:tc>
          <w:tcPr>
            <w:tcW w:type="dxa" w:w="4800"/>
          </w:tcPr>
          <w:p>
            <w:r>
              <w:rPr>
                <w:rFonts w:ascii="Calibri" w:cs="Calibri" w:eastAsia="Calibri" w:hAnsi="Calibri"/>
                <w:b w:val="false"/>
                <w:bCs w:val="false"/>
                <w:color w:val="000000"/>
                <w:sz w:val="20"/>
                <w:szCs w:val="20"/>
              </w:rPr>
              <w:t xml:space="preserve">One row per product version</w:t>
            </w:r>
          </w:p>
        </w:tc>
      </w:tr>
      <w:tr>
        <w:tc>
          <w:tcPr>
            <w:tcW w:type="dxa" w:w="3200"/>
          </w:tcPr>
          <w:p>
            <w:r>
              <w:rPr>
                <w:rFonts w:ascii="Calibri" w:cs="Calibri" w:eastAsia="Calibri" w:hAnsi="Calibri"/>
                <w:b w:val="false"/>
                <w:bCs w:val="false"/>
                <w:color w:val="000000"/>
                <w:sz w:val="20"/>
                <w:szCs w:val="20"/>
              </w:rPr>
              <w:t xml:space="preserve">crm_sales_details</w:t>
            </w:r>
          </w:p>
        </w:tc>
        <w:tc>
          <w:tcPr>
            <w:tcW w:type="dxa" w:w="1600"/>
          </w:tcPr>
          <w:p>
            <w:r>
              <w:rPr>
                <w:rFonts w:ascii="Calibri" w:cs="Calibri" w:eastAsia="Calibri" w:hAnsi="Calibri"/>
                <w:b w:val="false"/>
                <w:bCs w:val="false"/>
                <w:color w:val="000000"/>
                <w:sz w:val="20"/>
                <w:szCs w:val="20"/>
              </w:rPr>
              <w:t xml:space="preserve">CRM</w:t>
            </w:r>
          </w:p>
        </w:tc>
        <w:tc>
          <w:tcPr>
            <w:tcW w:type="dxa" w:w="4800"/>
          </w:tcPr>
          <w:p>
            <w:r>
              <w:rPr>
                <w:rFonts w:ascii="Calibri" w:cs="Calibri" w:eastAsia="Calibri" w:hAnsi="Calibri"/>
                <w:b w:val="false"/>
                <w:bCs w:val="false"/>
                <w:color w:val="000000"/>
                <w:sz w:val="20"/>
                <w:szCs w:val="20"/>
              </w:rPr>
              <w:t xml:space="preserve">One row per order line item</w:t>
            </w:r>
          </w:p>
        </w:tc>
      </w:tr>
      <w:tr>
        <w:tc>
          <w:tcPr>
            <w:tcW w:type="dxa" w:w="3200"/>
          </w:tcPr>
          <w:p>
            <w:r>
              <w:rPr>
                <w:rFonts w:ascii="Calibri" w:cs="Calibri" w:eastAsia="Calibri" w:hAnsi="Calibri"/>
                <w:b w:val="false"/>
                <w:bCs w:val="false"/>
                <w:color w:val="000000"/>
                <w:sz w:val="20"/>
                <w:szCs w:val="20"/>
              </w:rPr>
              <w:t xml:space="preserve">erp_cust_az12</w:t>
            </w:r>
          </w:p>
        </w:tc>
        <w:tc>
          <w:tcPr>
            <w:tcW w:type="dxa" w:w="1600"/>
          </w:tcPr>
          <w:p>
            <w:r>
              <w:rPr>
                <w:rFonts w:ascii="Calibri" w:cs="Calibri" w:eastAsia="Calibri" w:hAnsi="Calibri"/>
                <w:b w:val="false"/>
                <w:bCs w:val="false"/>
                <w:color w:val="000000"/>
                <w:sz w:val="20"/>
                <w:szCs w:val="20"/>
              </w:rPr>
              <w:t xml:space="preserve">ERP</w:t>
            </w:r>
          </w:p>
        </w:tc>
        <w:tc>
          <w:tcPr>
            <w:tcW w:type="dxa" w:w="4800"/>
          </w:tcPr>
          <w:p>
            <w:r>
              <w:rPr>
                <w:rFonts w:ascii="Calibri" w:cs="Calibri" w:eastAsia="Calibri" w:hAnsi="Calibri"/>
                <w:b w:val="false"/>
                <w:bCs w:val="false"/>
                <w:color w:val="000000"/>
                <w:sz w:val="20"/>
                <w:szCs w:val="20"/>
              </w:rPr>
              <w:t xml:space="preserve">One row per customer</w:t>
            </w:r>
          </w:p>
        </w:tc>
      </w:tr>
      <w:tr>
        <w:tc>
          <w:tcPr>
            <w:tcW w:type="dxa" w:w="3200"/>
          </w:tcPr>
          <w:p>
            <w:r>
              <w:rPr>
                <w:rFonts w:ascii="Calibri" w:cs="Calibri" w:eastAsia="Calibri" w:hAnsi="Calibri"/>
                <w:b w:val="false"/>
                <w:bCs w:val="false"/>
                <w:color w:val="000000"/>
                <w:sz w:val="20"/>
                <w:szCs w:val="20"/>
              </w:rPr>
              <w:t xml:space="preserve">erp_loc_a101</w:t>
            </w:r>
          </w:p>
        </w:tc>
        <w:tc>
          <w:tcPr>
            <w:tcW w:type="dxa" w:w="1600"/>
          </w:tcPr>
          <w:p>
            <w:r>
              <w:rPr>
                <w:rFonts w:ascii="Calibri" w:cs="Calibri" w:eastAsia="Calibri" w:hAnsi="Calibri"/>
                <w:b w:val="false"/>
                <w:bCs w:val="false"/>
                <w:color w:val="000000"/>
                <w:sz w:val="20"/>
                <w:szCs w:val="20"/>
              </w:rPr>
              <w:t xml:space="preserve">ERP</w:t>
            </w:r>
          </w:p>
        </w:tc>
        <w:tc>
          <w:tcPr>
            <w:tcW w:type="dxa" w:w="4800"/>
          </w:tcPr>
          <w:p>
            <w:r>
              <w:rPr>
                <w:rFonts w:ascii="Calibri" w:cs="Calibri" w:eastAsia="Calibri" w:hAnsi="Calibri"/>
                <w:b w:val="false"/>
                <w:bCs w:val="false"/>
                <w:color w:val="000000"/>
                <w:sz w:val="20"/>
                <w:szCs w:val="20"/>
              </w:rPr>
              <w:t xml:space="preserve">One row per customer</w:t>
            </w:r>
          </w:p>
        </w:tc>
      </w:tr>
      <w:tr>
        <w:tc>
          <w:tcPr>
            <w:tcW w:type="dxa" w:w="3200"/>
          </w:tcPr>
          <w:p>
            <w:r>
              <w:rPr>
                <w:rFonts w:ascii="Calibri" w:cs="Calibri" w:eastAsia="Calibri" w:hAnsi="Calibri"/>
                <w:b w:val="false"/>
                <w:bCs w:val="false"/>
                <w:color w:val="000000"/>
                <w:sz w:val="20"/>
                <w:szCs w:val="20"/>
              </w:rPr>
              <w:t xml:space="preserve">erp_px_cat_g1v2</w:t>
            </w:r>
          </w:p>
        </w:tc>
        <w:tc>
          <w:tcPr>
            <w:tcW w:type="dxa" w:w="1600"/>
          </w:tcPr>
          <w:p>
            <w:r>
              <w:rPr>
                <w:rFonts w:ascii="Calibri" w:cs="Calibri" w:eastAsia="Calibri" w:hAnsi="Calibri"/>
                <w:b w:val="false"/>
                <w:bCs w:val="false"/>
                <w:color w:val="000000"/>
                <w:sz w:val="20"/>
                <w:szCs w:val="20"/>
              </w:rPr>
              <w:t xml:space="preserve">ERP</w:t>
            </w:r>
          </w:p>
        </w:tc>
        <w:tc>
          <w:tcPr>
            <w:tcW w:type="dxa" w:w="4800"/>
          </w:tcPr>
          <w:p>
            <w:r>
              <w:rPr>
                <w:rFonts w:ascii="Calibri" w:cs="Calibri" w:eastAsia="Calibri" w:hAnsi="Calibri"/>
                <w:b w:val="false"/>
                <w:bCs w:val="false"/>
                <w:color w:val="000000"/>
                <w:sz w:val="20"/>
                <w:szCs w:val="20"/>
              </w:rPr>
              <w:t xml:space="preserve">One row per category id (reference table)</w:t>
            </w:r>
          </w:p>
        </w:tc>
      </w:tr>
    </w:tbl>
    <w:p>
      <w:pPr>
        <w:spacing w:after="160"/>
      </w:pPr>
      <w:r>
        <w:rPr>
          <w:rFonts w:ascii="Calibri" w:cs="Calibri" w:eastAsia="Calibri" w:hAnsi="Calibri"/>
          <w:sz w:val="22"/>
          <w:szCs w:val="22"/>
        </w:rPr>
        <w:t xml:space="preserve"/>
      </w:r>
    </w:p>
    <w:p>
      <w:pPr>
        <w:spacing w:after="160"/>
      </w:pPr>
      <w:r>
        <w:rPr>
          <w:rFonts w:ascii="Calibri" w:cs="Calibri" w:eastAsia="Calibri" w:hAnsi="Calibri"/>
          <w:sz w:val="22"/>
          <w:szCs w:val="22"/>
        </w:rPr>
        <w:t xml:space="preserve">Relationships — none of these are enforced by the source systems themselves; each only works after the specific cleaning step noted:</w:t>
      </w:r>
    </w:p>
    <w:p>
      <w:pPr>
        <w:pBdr>
          <w:top w:val="single" w:color="CCCCCC" w:sz="4"/>
          <w:bottom w:val="single" w:color="CCCCCC" w:sz="4"/>
          <w:left w:val="single" w:color="CCCCCC" w:sz="4"/>
          <w:right w:val="single" w:color="CCCCCC" w:sz="4"/>
        </w:pBdr>
        <w:shd w:fill="F2F2F2" w:val="clear"/>
        <w:spacing w:after="200" w:before="100"/>
      </w:pPr>
      <w:r>
        <w:rPr>
          <w:rFonts w:ascii="Consolas" w:cs="Consolas" w:eastAsia="Consolas" w:hAnsi="Consolas"/>
          <w:sz w:val="18"/>
          <w:szCs w:val="18"/>
        </w:rPr>
        <w:t xml:space="preserve">crm_cust_info.cst_key ──┬─ erp_cust_az12.cid   (strip "NAS" prefix)</w:t>
      </w:r>
      <w:r>
        <w:br/>
      </w:r>
      <w:r>
        <w:rPr>
          <w:rFonts w:ascii="Consolas" w:cs="Consolas" w:eastAsia="Consolas" w:hAnsi="Consolas"/>
          <w:sz w:val="18"/>
          <w:szCs w:val="18"/>
        </w:rPr>
        <w:t xml:space="preserve">                       └─ erp_loc_a101.cid    (strip hyphens)</w:t>
      </w:r>
      <w:r>
        <w:br/>
      </w:r>
      <w:r>
        <w:rPr>
          <w:rFonts w:ascii="Consolas" w:cs="Consolas" w:eastAsia="Consolas" w:hAnsi="Consolas"/>
          <w:sz w:val="18"/>
          <w:szCs w:val="18"/>
        </w:rPr>
        <w:t xml:space="preserve">crm_prd_info.cat_id ──── erp_px_cat_g1v2.id  (normalize "-" to "_")</w:t>
      </w:r>
      <w:r>
        <w:br/>
      </w:r>
      <w:r>
        <w:rPr>
          <w:rFonts w:ascii="Consolas" w:cs="Consolas" w:eastAsia="Consolas" w:hAnsi="Consolas"/>
          <w:sz w:val="18"/>
          <w:szCs w:val="18"/>
        </w:rPr>
        <w:t xml:space="preserve">crm_cust_info.cst_id ─── crm_sales_details.sls_cust_id</w:t>
      </w:r>
      <w:r>
        <w:br/>
      </w:r>
      <w:r>
        <w:rPr>
          <w:rFonts w:ascii="Consolas" w:cs="Consolas" w:eastAsia="Consolas" w:hAnsi="Consolas"/>
          <w:sz w:val="18"/>
          <w:szCs w:val="18"/>
        </w:rPr>
        <w:t xml:space="preserve">crm_prd_info.prd_key ─── crm_sales_details.sls_prd_key (post-split key)</w:t>
      </w:r>
    </w:p>
    <w:p>
      <w:pPr>
        <w:pStyle w:val="Heading1"/>
        <w:spacing w:after="200" w:before="400"/>
      </w:pPr>
      <w:r>
        <w:t xml:space="preserve">3. Data Profiling — What Was Actually Found</w:t>
      </w:r>
    </w:p>
    <w:p>
      <w:pPr>
        <w:spacing w:after="160"/>
      </w:pPr>
      <w:r>
        <w:rPr>
          <w:rFonts w:ascii="Calibri" w:cs="Calibri" w:eastAsia="Calibri" w:hAnsi="Calibri"/>
          <w:sz w:val="22"/>
          <w:szCs w:val="22"/>
        </w:rPr>
        <w:t xml:space="preserve">Every rule in Silver traces back to a specific finding here, not a guess. Findings by table:</w:t>
      </w:r>
    </w:p>
    <w:p>
      <w:pPr>
        <w:pStyle w:val="Heading3"/>
        <w:spacing w:after="100" w:before="200"/>
      </w:pPr>
      <w:r>
        <w:t xml:space="preserve">crm_cust_info</w:t>
      </w:r>
    </w:p>
    <w:p>
      <w:pPr>
        <w:pStyle w:val="ListParagraph"/>
        <w:numPr>
          <w:ilvl w:val="0"/>
          <w:numId w:val="1"/>
        </w:numPr>
        <w:spacing w:after="80"/>
      </w:pPr>
      <w:r>
        <w:rPr>
          <w:rFonts w:ascii="Calibri" w:cs="Calibri" w:eastAsia="Calibri" w:hAnsi="Calibri"/>
          <w:sz w:val="22"/>
          <w:szCs w:val="22"/>
        </w:rPr>
        <w:t xml:space="preserve">Duplicate cst_id values — confirmed the table is a change history, not one row per customer.</w:t>
      </w:r>
    </w:p>
    <w:p>
      <w:pPr>
        <w:pStyle w:val="ListParagraph"/>
        <w:numPr>
          <w:ilvl w:val="0"/>
          <w:numId w:val="1"/>
        </w:numPr>
        <w:spacing w:after="80"/>
      </w:pPr>
      <w:r>
        <w:rPr>
          <w:rFonts w:ascii="Calibri" w:cs="Calibri" w:eastAsia="Calibri" w:hAnsi="Calibri"/>
          <w:sz w:val="22"/>
          <w:szCs w:val="22"/>
        </w:rPr>
        <w:t xml:space="preserve">cst_gndr / cst_marital_status are single-letter codes, inconsistently cased and sometimes padded with whitespace.</w:t>
      </w:r>
    </w:p>
    <w:p>
      <w:pPr>
        <w:pStyle w:val="Heading3"/>
        <w:spacing w:after="100" w:before="200"/>
      </w:pPr>
      <w:r>
        <w:t xml:space="preserve">crm_prd_info</w:t>
      </w:r>
    </w:p>
    <w:p>
      <w:pPr>
        <w:pStyle w:val="ListParagraph"/>
        <w:numPr>
          <w:ilvl w:val="0"/>
          <w:numId w:val="1"/>
        </w:numPr>
        <w:spacing w:after="80"/>
      </w:pPr>
      <w:r>
        <w:rPr>
          <w:rFonts w:ascii="Calibri" w:cs="Calibri" w:eastAsia="Calibri" w:hAnsi="Calibri"/>
          <w:sz w:val="22"/>
          <w:szCs w:val="22"/>
        </w:rPr>
        <w:t xml:space="preserve">prd_key is compound: a 5-character category id (hyphen-delimited) glued to a product number.</w:t>
      </w:r>
    </w:p>
    <w:p>
      <w:pPr>
        <w:pStyle w:val="ListParagraph"/>
        <w:numPr>
          <w:ilvl w:val="0"/>
          <w:numId w:val="1"/>
        </w:numPr>
        <w:spacing w:after="80"/>
      </w:pPr>
      <w:r>
        <w:rPr>
          <w:rFonts w:ascii="Calibri" w:cs="Calibri" w:eastAsia="Calibri" w:hAnsi="Calibri"/>
          <w:sz w:val="22"/>
          <w:szCs w:val="22"/>
        </w:rPr>
        <w:t xml:space="preserve">prd_end_dt from the source doesn't reliably reflect when a version actually ended.</w:t>
      </w:r>
    </w:p>
    <w:p>
      <w:pPr>
        <w:pStyle w:val="ListParagraph"/>
        <w:numPr>
          <w:ilvl w:val="0"/>
          <w:numId w:val="1"/>
        </w:numPr>
        <w:spacing w:after="80"/>
      </w:pPr>
      <w:r>
        <w:rPr>
          <w:rFonts w:ascii="Calibri" w:cs="Calibri" w:eastAsia="Calibri" w:hAnsi="Calibri"/>
          <w:sz w:val="22"/>
          <w:szCs w:val="22"/>
        </w:rPr>
        <w:t xml:space="preserve">prd_cost has missing values.</w:t>
      </w:r>
    </w:p>
    <w:p>
      <w:pPr>
        <w:pStyle w:val="Heading3"/>
        <w:spacing w:after="100" w:before="200"/>
      </w:pPr>
      <w:r>
        <w:t xml:space="preserve">crm_sales_details</w:t>
      </w:r>
    </w:p>
    <w:p>
      <w:pPr>
        <w:pStyle w:val="ListParagraph"/>
        <w:numPr>
          <w:ilvl w:val="0"/>
          <w:numId w:val="1"/>
        </w:numPr>
        <w:spacing w:after="80"/>
      </w:pPr>
      <w:r>
        <w:rPr>
          <w:rFonts w:ascii="Calibri" w:cs="Calibri" w:eastAsia="Calibri" w:hAnsi="Calibri"/>
          <w:sz w:val="22"/>
          <w:szCs w:val="22"/>
        </w:rPr>
        <w:t xml:space="preserve">Dates stored as YYYYMMDD integers; 0 is used as a placeholder for “no date” rather than a true null.</w:t>
      </w:r>
    </w:p>
    <w:p>
      <w:pPr>
        <w:pStyle w:val="ListParagraph"/>
        <w:numPr>
          <w:ilvl w:val="0"/>
          <w:numId w:val="1"/>
        </w:numPr>
        <w:spacing w:after="80"/>
      </w:pPr>
      <w:r>
        <w:rPr>
          <w:rFonts w:ascii="Calibri" w:cs="Calibri" w:eastAsia="Calibri" w:hAnsi="Calibri"/>
          <w:sz w:val="22"/>
          <w:szCs w:val="22"/>
        </w:rPr>
        <w:t xml:space="preserve">sls_sales doesn't always equal sls_quantity × sls_price — sometimes null, negative, or simply wrong.</w:t>
      </w:r>
    </w:p>
    <w:p>
      <w:pPr>
        <w:pStyle w:val="ListParagraph"/>
        <w:numPr>
          <w:ilvl w:val="0"/>
          <w:numId w:val="1"/>
        </w:numPr>
        <w:spacing w:after="80"/>
      </w:pPr>
      <w:r>
        <w:rPr>
          <w:rFonts w:ascii="Calibri" w:cs="Calibri" w:eastAsia="Calibri" w:hAnsi="Calibri"/>
          <w:sz w:val="22"/>
          <w:szCs w:val="22"/>
        </w:rPr>
        <w:t xml:space="preserve">sls_price is sometimes null or non-positive even when sales and quantity are both present.</w:t>
      </w:r>
    </w:p>
    <w:p>
      <w:pPr>
        <w:pStyle w:val="Heading3"/>
        <w:spacing w:after="100" w:before="200"/>
      </w:pPr>
      <w:r>
        <w:t xml:space="preserve">erp_cust_az12</w:t>
      </w:r>
    </w:p>
    <w:p>
      <w:pPr>
        <w:pStyle w:val="ListParagraph"/>
        <w:numPr>
          <w:ilvl w:val="0"/>
          <w:numId w:val="1"/>
        </w:numPr>
        <w:spacing w:after="80"/>
      </w:pPr>
      <w:r>
        <w:rPr>
          <w:rFonts w:ascii="Calibri" w:cs="Calibri" w:eastAsia="Calibri" w:hAnsi="Calibri"/>
          <w:sz w:val="22"/>
          <w:szCs w:val="22"/>
        </w:rPr>
        <w:t xml:space="preserve">cid sometimes carries a NAS prefix that CRM's cst_key doesn't have — breaks the join until stripped.</w:t>
      </w:r>
    </w:p>
    <w:p>
      <w:pPr>
        <w:pStyle w:val="ListParagraph"/>
        <w:numPr>
          <w:ilvl w:val="0"/>
          <w:numId w:val="1"/>
        </w:numPr>
        <w:spacing w:after="80"/>
      </w:pPr>
      <w:r>
        <w:rPr>
          <w:rFonts w:ascii="Calibri" w:cs="Calibri" w:eastAsia="Calibri" w:hAnsi="Calibri"/>
          <w:sz w:val="22"/>
          <w:szCs w:val="22"/>
        </w:rPr>
        <w:t xml:space="preserve">A handful of bdate values are in the future.</w:t>
      </w:r>
    </w:p>
    <w:p>
      <w:pPr>
        <w:pStyle w:val="Heading3"/>
        <w:spacing w:after="100" w:before="200"/>
      </w:pPr>
      <w:r>
        <w:t xml:space="preserve">erp_loc_a101</w:t>
      </w:r>
    </w:p>
    <w:p>
      <w:pPr>
        <w:pStyle w:val="ListParagraph"/>
        <w:numPr>
          <w:ilvl w:val="0"/>
          <w:numId w:val="1"/>
        </w:numPr>
        <w:spacing w:after="80"/>
      </w:pPr>
      <w:r>
        <w:rPr>
          <w:rFonts w:ascii="Calibri" w:cs="Calibri" w:eastAsia="Calibri" w:hAnsi="Calibri"/>
          <w:sz w:val="22"/>
          <w:szCs w:val="22"/>
        </w:rPr>
        <w:t xml:space="preserve">cid has hyphens CRM's cst_key doesn't — breaks the join until stripped.</w:t>
      </w:r>
    </w:p>
    <w:p>
      <w:pPr>
        <w:pStyle w:val="ListParagraph"/>
        <w:numPr>
          <w:ilvl w:val="0"/>
          <w:numId w:val="1"/>
        </w:numPr>
        <w:spacing w:after="80"/>
      </w:pPr>
      <w:r>
        <w:rPr>
          <w:rFonts w:ascii="Calibri" w:cs="Calibri" w:eastAsia="Calibri" w:hAnsi="Calibri"/>
          <w:sz w:val="22"/>
          <w:szCs w:val="22"/>
        </w:rPr>
        <w:t xml:space="preserve">cntry has multiple spellings for the same country (US/USA, DE, blanks).</w:t>
      </w:r>
    </w:p>
    <w:p>
      <w:pPr>
        <w:pStyle w:val="Heading3"/>
        <w:spacing w:after="100" w:before="200"/>
      </w:pPr>
      <w:r>
        <w:t xml:space="preserve">erp_px_cat_g1v2</w:t>
      </w:r>
    </w:p>
    <w:p>
      <w:pPr>
        <w:pStyle w:val="ListParagraph"/>
        <w:numPr>
          <w:ilvl w:val="0"/>
          <w:numId w:val="1"/>
        </w:numPr>
        <w:spacing w:after="80"/>
      </w:pPr>
      <w:r>
        <w:rPr>
          <w:rFonts w:ascii="Calibri" w:cs="Calibri" w:eastAsia="Calibri" w:hAnsi="Calibri"/>
          <w:sz w:val="22"/>
          <w:szCs w:val="22"/>
        </w:rPr>
        <w:t xml:space="preserve">Clean already — no nulls, no inconsistent casing beyond stray whitespace.</w:t>
      </w:r>
    </w:p>
    <w:p>
      <w:pPr>
        <w:spacing w:after="160"/>
      </w:pPr>
      <w:r>
        <w:rPr>
          <w:rFonts w:ascii="Calibri" w:cs="Calibri" w:eastAsia="Calibri" w:hAnsi="Calibri"/>
          <w:sz w:val="22"/>
          <w:szCs w:val="22"/>
        </w:rPr>
        <w:t xml:space="preserve">The full profiling notebook, with the actual pandas checks run against Bronze to produce these findings, is in exploration/data_profiling.py.</w:t>
      </w:r>
    </w:p>
    <w:p>
      <w:r>
        <w:br w:type="page"/>
      </w:r>
    </w:p>
    <w:p>
      <w:pPr>
        <w:pStyle w:val="Heading1"/>
        <w:spacing w:after="200" w:before="400"/>
      </w:pPr>
      <w:r>
        <w:t xml:space="preserve">4. Bronze Layer</w:t>
      </w:r>
    </w:p>
    <w:p>
      <w:pPr>
        <w:spacing w:after="160"/>
      </w:pPr>
      <w:r>
        <w:rPr>
          <w:rFonts w:ascii="Calibri" w:cs="Calibri" w:eastAsia="Calibri" w:hAnsi="Calibri"/>
          <w:sz w:val="22"/>
          <w:szCs w:val="22"/>
        </w:rPr>
        <w:t xml:space="preserve">Bronze's only job is a reliable, untransformed copy of the source — no filtering, no type casting, no logic. Every column is read as a string, which keeps this layer immune to source formatting surprises; type-casting is Silver's responsibility, not Bronze's.</w:t>
      </w:r>
    </w:p>
    <w:p>
      <w:pPr>
        <w:spacing w:after="160"/>
      </w:pPr>
      <w:r>
        <w:rPr>
          <w:rFonts w:ascii="Calibri" w:cs="Calibri" w:eastAsia="Calibri" w:hAnsi="Calibri"/>
          <w:sz w:val="22"/>
          <w:szCs w:val="22"/>
        </w:rPr>
        <w:t xml:space="preserve">Reading is done with pandas (a Databricks Volume path is just a regular filesystem path, and these files are small enough for a single node); the only place Spark shows up is the final Delta write, since Delta is Spark-native:</w:t>
      </w:r>
    </w:p>
    <w:p>
      <w:pPr>
        <w:pBdr>
          <w:top w:val="single" w:color="CCCCCC" w:sz="4"/>
          <w:bottom w:val="single" w:color="CCCCCC" w:sz="4"/>
          <w:left w:val="single" w:color="CCCCCC" w:sz="4"/>
          <w:right w:val="single" w:color="CCCCCC" w:sz="4"/>
        </w:pBdr>
        <w:shd w:fill="F2F2F2" w:val="clear"/>
        <w:spacing w:after="200" w:before="100"/>
      </w:pPr>
      <w:r>
        <w:rPr>
          <w:rFonts w:ascii="Consolas" w:cs="Consolas" w:eastAsia="Consolas" w:hAnsi="Consolas"/>
          <w:sz w:val="18"/>
          <w:szCs w:val="18"/>
        </w:rPr>
        <w:t xml:space="preserve">import pandas as pd</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def load_to_bronze(csv_name, table_name):</w:t>
      </w:r>
      <w:r>
        <w:br/>
      </w:r>
      <w:r>
        <w:rPr>
          <w:rFonts w:ascii="Consolas" w:cs="Consolas" w:eastAsia="Consolas" w:hAnsi="Consolas"/>
          <w:sz w:val="18"/>
          <w:szCs w:val="18"/>
        </w:rPr>
        <w:t xml:space="preserve">    pdf = pd.read_csv(f"{RAW_PATH}/{csv_name}", dtype=str, keep_default_na=False)</w:t>
      </w:r>
      <w:r>
        <w:br/>
      </w:r>
      <w:r>
        <w:rPr>
          <w:rFonts w:ascii="Consolas" w:cs="Consolas" w:eastAsia="Consolas" w:hAnsi="Consolas"/>
          <w:sz w:val="18"/>
          <w:szCs w:val="18"/>
        </w:rPr>
        <w:t xml:space="preserve">    sdf = spark.createDataFrame(pdf)</w:t>
      </w:r>
      <w:r>
        <w:br/>
      </w:r>
      <w:r>
        <w:rPr>
          <w:rFonts w:ascii="Consolas" w:cs="Consolas" w:eastAsia="Consolas" w:hAnsi="Consolas"/>
          <w:sz w:val="18"/>
          <w:szCs w:val="18"/>
        </w:rPr>
        <w:t xml:space="preserve">    sdf.write.mode("overwrite").saveAsTable(f"{CATALOG}.bronze.{table_name}")</w:t>
      </w:r>
      <w:r>
        <w:br/>
      </w:r>
      <w:r>
        <w:rPr>
          <w:rFonts w:ascii="Consolas" w:cs="Consolas" w:eastAsia="Consolas" w:hAnsi="Consolas"/>
          <w:sz w:val="18"/>
          <w:szCs w:val="18"/>
        </w:rPr>
        <w:t xml:space="preserve">    print(f"{table_name:&lt;20} {len(pdf):&gt;8} rows")</w:t>
      </w:r>
      <w:r>
        <w:br/>
      </w:r>
      <w:r>
        <w:rPr>
          <w:rFonts w:ascii="Consolas" w:cs="Consolas" w:eastAsia="Consolas" w:hAnsi="Consolas"/>
          <w:sz w:val="18"/>
          <w:szCs w:val="18"/>
        </w:rPr>
        <w:t xml:space="preserve">    return pdf</w:t>
      </w:r>
    </w:p>
    <w:p>
      <w:pPr>
        <w:spacing w:after="160"/>
      </w:pPr>
      <w:r>
        <w:rPr>
          <w:rFonts w:ascii="Calibri" w:cs="Calibri" w:eastAsia="Calibri" w:hAnsi="Calibri"/>
          <w:sz w:val="22"/>
          <w:szCs w:val="22"/>
        </w:rPr>
        <w:t xml:space="preserve">mode('overwrite') makes every load idempotent — re-running Bronze never produces duplicate rows, it just replaces the table with a fresh copy of the current source files. After each load, a row count is printed as a lightweight audit trail: the notebook's own run history becomes the load log.</w:t>
      </w:r>
    </w:p>
    <w:p>
      <w:pPr>
        <w:pStyle w:val="Heading1"/>
        <w:spacing w:after="200" w:before="400"/>
      </w:pPr>
      <w:r>
        <w:t xml:space="preserve">5. Silver Layer</w:t>
      </w:r>
    </w:p>
    <w:p>
      <w:pPr>
        <w:spacing w:after="160"/>
      </w:pPr>
      <w:r>
        <w:rPr>
          <w:rFonts w:ascii="Calibri" w:cs="Calibri" w:eastAsia="Calibri" w:hAnsi="Calibri"/>
          <w:sz w:val="22"/>
          <w:szCs w:val="22"/>
        </w:rPr>
        <w:t xml:space="preserve">Silver reads each Bronze table into pandas with .toPandas(), applies the cleaning rules found during profiling, and writes back to Delta — gaining a dwh_create_date audit column in the process so every row is traceable to when it was loaded.</w:t>
      </w:r>
    </w:p>
    <w:p>
      <w:pPr>
        <w:pStyle w:val="Heading3"/>
        <w:spacing w:after="100" w:before="200"/>
      </w:pPr>
      <w:r>
        <w:t xml:space="preserve">5.1 Deduplication (crm_cust_info)</w:t>
      </w:r>
    </w:p>
    <w:p>
      <w:pPr>
        <w:spacing w:after="160"/>
      </w:pPr>
      <w:r>
        <w:rPr>
          <w:rFonts w:ascii="Calibri" w:cs="Calibri" w:eastAsia="Calibri" w:hAnsi="Calibri"/>
          <w:sz w:val="22"/>
          <w:szCs w:val="22"/>
        </w:rPr>
        <w:t xml:space="preserve">Keeps only the latest row per customer, using a sort + drop_duplicates in place of a SQL window function:</w:t>
      </w:r>
    </w:p>
    <w:p>
      <w:pPr>
        <w:pBdr>
          <w:top w:val="single" w:color="CCCCCC" w:sz="4"/>
          <w:bottom w:val="single" w:color="CCCCCC" w:sz="4"/>
          <w:left w:val="single" w:color="CCCCCC" w:sz="4"/>
          <w:right w:val="single" w:color="CCCCCC" w:sz="4"/>
        </w:pBdr>
        <w:shd w:fill="F2F2F2" w:val="clear"/>
        <w:spacing w:after="200" w:before="100"/>
      </w:pPr>
      <w:r>
        <w:rPr>
          <w:rFonts w:ascii="Consolas" w:cs="Consolas" w:eastAsia="Consolas" w:hAnsi="Consolas"/>
          <w:sz w:val="18"/>
          <w:szCs w:val="18"/>
        </w:rPr>
        <w:t xml:space="preserve">df["cst_create_date"] = pd.to_datetime(df["cst_create_date"], errors="coerce")</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crm_cust_info_silver = (</w:t>
      </w:r>
      <w:r>
        <w:br/>
      </w:r>
      <w:r>
        <w:rPr>
          <w:rFonts w:ascii="Consolas" w:cs="Consolas" w:eastAsia="Consolas" w:hAnsi="Consolas"/>
          <w:sz w:val="18"/>
          <w:szCs w:val="18"/>
        </w:rPr>
        <w:t xml:space="preserve">    df[df["cst_id"].notna() &amp; (df["cst_id"] != "")]</w:t>
      </w:r>
      <w:r>
        <w:br/>
      </w:r>
      <w:r>
        <w:rPr>
          <w:rFonts w:ascii="Consolas" w:cs="Consolas" w:eastAsia="Consolas" w:hAnsi="Consolas"/>
          <w:sz w:val="18"/>
          <w:szCs w:val="18"/>
        </w:rPr>
        <w:t xml:space="preserve">    .sort_values("cst_create_date", ascending=False)</w:t>
      </w:r>
      <w:r>
        <w:br/>
      </w:r>
      <w:r>
        <w:rPr>
          <w:rFonts w:ascii="Consolas" w:cs="Consolas" w:eastAsia="Consolas" w:hAnsi="Consolas"/>
          <w:sz w:val="18"/>
          <w:szCs w:val="18"/>
        </w:rPr>
        <w:t xml:space="preserve">    .drop_duplicates(subset="cst_id", keep="first")</w:t>
      </w:r>
      <w:r>
        <w:br/>
      </w:r>
      <w:r>
        <w:rPr>
          <w:rFonts w:ascii="Consolas" w:cs="Consolas" w:eastAsia="Consolas" w:hAnsi="Consolas"/>
          <w:sz w:val="18"/>
          <w:szCs w:val="18"/>
        </w:rPr>
        <w:t xml:space="preserve">)</w:t>
      </w:r>
    </w:p>
    <w:p>
      <w:pPr>
        <w:pStyle w:val="Heading3"/>
        <w:spacing w:after="100" w:before="200"/>
      </w:pPr>
      <w:r>
        <w:t xml:space="preserve">5.2 Categorical standardization</w:t>
      </w:r>
    </w:p>
    <w:p>
      <w:pPr>
        <w:spacing w:after="160"/>
      </w:pPr>
      <w:r>
        <w:rPr>
          <w:rFonts w:ascii="Calibri" w:cs="Calibri" w:eastAsia="Calibri" w:hAnsi="Calibri"/>
          <w:sz w:val="22"/>
          <w:szCs w:val="22"/>
        </w:rPr>
        <w:t xml:space="preserve">Every coded column (gender, marital status, product line, country) follows the same pattern — trim, uppercase, map to a fixed value set, default to 'n/a' for anything unrecognized, so downstream filters never silently drop a row because of a casing mismatch:</w:t>
      </w:r>
    </w:p>
    <w:p>
      <w:pPr>
        <w:pBdr>
          <w:top w:val="single" w:color="CCCCCC" w:sz="4"/>
          <w:bottom w:val="single" w:color="CCCCCC" w:sz="4"/>
          <w:left w:val="single" w:color="CCCCCC" w:sz="4"/>
          <w:right w:val="single" w:color="CCCCCC" w:sz="4"/>
        </w:pBdr>
        <w:shd w:fill="F2F2F2" w:val="clear"/>
        <w:spacing w:after="200" w:before="100"/>
      </w:pPr>
      <w:r>
        <w:rPr>
          <w:rFonts w:ascii="Consolas" w:cs="Consolas" w:eastAsia="Consolas" w:hAnsi="Consolas"/>
          <w:sz w:val="18"/>
          <w:szCs w:val="18"/>
        </w:rPr>
        <w:t xml:space="preserve">crm_cust_info_silver["cst_gndr"] = (</w:t>
      </w:r>
      <w:r>
        <w:br/>
      </w:r>
      <w:r>
        <w:rPr>
          <w:rFonts w:ascii="Consolas" w:cs="Consolas" w:eastAsia="Consolas" w:hAnsi="Consolas"/>
          <w:sz w:val="18"/>
          <w:szCs w:val="18"/>
        </w:rPr>
        <w:t xml:space="preserve">    crm_cust_info_silver["cst_gndr"].str.strip().str.upper()</w:t>
      </w:r>
      <w:r>
        <w:br/>
      </w:r>
      <w:r>
        <w:rPr>
          <w:rFonts w:ascii="Consolas" w:cs="Consolas" w:eastAsia="Consolas" w:hAnsi="Consolas"/>
          <w:sz w:val="18"/>
          <w:szCs w:val="18"/>
        </w:rPr>
        <w:t xml:space="preserve">    .map({"M": "Male", "F": "Female"})</w:t>
      </w:r>
      <w:r>
        <w:br/>
      </w:r>
      <w:r>
        <w:rPr>
          <w:rFonts w:ascii="Consolas" w:cs="Consolas" w:eastAsia="Consolas" w:hAnsi="Consolas"/>
          <w:sz w:val="18"/>
          <w:szCs w:val="18"/>
        </w:rPr>
        <w:t xml:space="preserve">    .fillna("n/a")</w:t>
      </w:r>
      <w:r>
        <w:br/>
      </w:r>
      <w:r>
        <w:rPr>
          <w:rFonts w:ascii="Consolas" w:cs="Consolas" w:eastAsia="Consolas" w:hAnsi="Consolas"/>
          <w:sz w:val="18"/>
          <w:szCs w:val="18"/>
        </w:rPr>
        <w:t xml:space="preserve">)</w:t>
      </w:r>
    </w:p>
    <w:p>
      <w:pPr>
        <w:pStyle w:val="Heading3"/>
        <w:spacing w:after="100" w:before="200"/>
      </w:pPr>
      <w:r>
        <w:t xml:space="preserve">5.3 Recomputing product end dates</w:t>
      </w:r>
    </w:p>
    <w:p>
      <w:pPr>
        <w:spacing w:after="160"/>
      </w:pPr>
      <w:r>
        <w:rPr>
          <w:rFonts w:ascii="Calibri" w:cs="Calibri" w:eastAsia="Calibri" w:hAnsi="Calibri"/>
          <w:sz w:val="22"/>
          <w:szCs w:val="22"/>
        </w:rPr>
        <w:t xml:space="preserve">Rather than trust the source's prd_end_dt, each product version's end date is derived as one day before the next version's start date, grouped by product key:</w:t>
      </w:r>
    </w:p>
    <w:p>
      <w:pPr>
        <w:pBdr>
          <w:top w:val="single" w:color="CCCCCC" w:sz="4"/>
          <w:bottom w:val="single" w:color="CCCCCC" w:sz="4"/>
          <w:left w:val="single" w:color="CCCCCC" w:sz="4"/>
          <w:right w:val="single" w:color="CCCCCC" w:sz="4"/>
        </w:pBdr>
        <w:shd w:fill="F2F2F2" w:val="clear"/>
        <w:spacing w:after="200" w:before="100"/>
      </w:pPr>
      <w:r>
        <w:rPr>
          <w:rFonts w:ascii="Consolas" w:cs="Consolas" w:eastAsia="Consolas" w:hAnsi="Consolas"/>
          <w:sz w:val="18"/>
          <w:szCs w:val="18"/>
        </w:rPr>
        <w:t xml:space="preserve">crm_prd_info_silver = crm_prd_info_silver.sort_values(["prd_key", "prd_start_dt"])</w:t>
      </w:r>
      <w:r>
        <w:br/>
      </w:r>
      <w:r>
        <w:rPr>
          <w:rFonts w:ascii="Consolas" w:cs="Consolas" w:eastAsia="Consolas" w:hAnsi="Consolas"/>
          <w:sz w:val="18"/>
          <w:szCs w:val="18"/>
        </w:rPr>
        <w:t xml:space="preserve">crm_prd_info_silver["prd_end_dt"] = (</w:t>
      </w:r>
      <w:r>
        <w:br/>
      </w:r>
      <w:r>
        <w:rPr>
          <w:rFonts w:ascii="Consolas" w:cs="Consolas" w:eastAsia="Consolas" w:hAnsi="Consolas"/>
          <w:sz w:val="18"/>
          <w:szCs w:val="18"/>
        </w:rPr>
        <w:t xml:space="preserve">    crm_prd_info_silver.groupby("prd_key")["prd_start_dt"].shift(-1) - pd.Timedelta(days=1)</w:t>
      </w:r>
      <w:r>
        <w:br/>
      </w:r>
      <w:r>
        <w:rPr>
          <w:rFonts w:ascii="Consolas" w:cs="Consolas" w:eastAsia="Consolas" w:hAnsi="Consolas"/>
          <w:sz w:val="18"/>
          <w:szCs w:val="18"/>
        </w:rPr>
        <w:t xml:space="preserve">)</w:t>
      </w:r>
    </w:p>
    <w:p>
      <w:pPr>
        <w:pStyle w:val="Heading3"/>
        <w:spacing w:after="100" w:before="200"/>
      </w:pPr>
      <w:r>
        <w:t xml:space="preserve">5.4 Reconciling sales figures</w:t>
      </w:r>
    </w:p>
    <w:p>
      <w:pPr>
        <w:spacing w:after="160"/>
      </w:pPr>
      <w:r>
        <w:rPr>
          <w:rFonts w:ascii="Calibri" w:cs="Calibri" w:eastAsia="Calibri" w:hAnsi="Calibri"/>
          <w:sz w:val="22"/>
          <w:szCs w:val="22"/>
        </w:rPr>
        <w:t xml:space="preserve">sls_price and sls_sales are cross-checked against each other; whichever one is missing or inconsistent gets derived from the other two columns rather than the row being dropped:</w:t>
      </w:r>
    </w:p>
    <w:p>
      <w:pPr>
        <w:pBdr>
          <w:top w:val="single" w:color="CCCCCC" w:sz="4"/>
          <w:bottom w:val="single" w:color="CCCCCC" w:sz="4"/>
          <w:left w:val="single" w:color="CCCCCC" w:sz="4"/>
          <w:right w:val="single" w:color="CCCCCC" w:sz="4"/>
        </w:pBdr>
        <w:shd w:fill="F2F2F2" w:val="clear"/>
        <w:spacing w:after="200" w:before="100"/>
      </w:pPr>
      <w:r>
        <w:rPr>
          <w:rFonts w:ascii="Consolas" w:cs="Consolas" w:eastAsia="Consolas" w:hAnsi="Consolas"/>
          <w:sz w:val="18"/>
          <w:szCs w:val="18"/>
        </w:rPr>
        <w:t xml:space="preserve">needs_price = crm_sales_details_silver["sls_price"].isna() | (crm_sales_details_silver["sls_price"] &lt;= 0)</w:t>
      </w:r>
      <w:r>
        <w:br/>
      </w:r>
      <w:r>
        <w:rPr>
          <w:rFonts w:ascii="Consolas" w:cs="Consolas" w:eastAsia="Consolas" w:hAnsi="Consolas"/>
          <w:sz w:val="18"/>
          <w:szCs w:val="18"/>
        </w:rPr>
        <w:t xml:space="preserve">safe_qty = crm_sales_details_silver["sls_quantity"].replace(0, np.nan)</w:t>
      </w:r>
      <w:r>
        <w:br/>
      </w:r>
      <w:r>
        <w:rPr>
          <w:rFonts w:ascii="Consolas" w:cs="Consolas" w:eastAsia="Consolas" w:hAnsi="Consolas"/>
          <w:sz w:val="18"/>
          <w:szCs w:val="18"/>
        </w:rPr>
        <w:t xml:space="preserve">crm_sales_details_silver.loc[needs_price, "sls_price"] = (</w:t>
      </w:r>
      <w:r>
        <w:br/>
      </w:r>
      <w:r>
        <w:rPr>
          <w:rFonts w:ascii="Consolas" w:cs="Consolas" w:eastAsia="Consolas" w:hAnsi="Consolas"/>
          <w:sz w:val="18"/>
          <w:szCs w:val="18"/>
        </w:rPr>
        <w:t xml:space="preserve">    crm_sales_details_silver["sls_sales"] / safe_qty</w:t>
      </w:r>
      <w:r>
        <w:br/>
      </w:r>
      <w:r>
        <w:rPr>
          <w:rFonts w:ascii="Consolas" w:cs="Consolas" w:eastAsia="Consolas" w:hAnsi="Consolas"/>
          <w:sz w:val="18"/>
          <w:szCs w:val="18"/>
        </w:rPr>
        <w:t xml:space="preserve">)[needs_price]</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expected_sales = crm_sales_details_silver["sls_quantity"] * crm_sales_details_silver["sls_price"].abs()</w:t>
      </w:r>
      <w:r>
        <w:br/>
      </w:r>
      <w:r>
        <w:rPr>
          <w:rFonts w:ascii="Consolas" w:cs="Consolas" w:eastAsia="Consolas" w:hAnsi="Consolas"/>
          <w:sz w:val="18"/>
          <w:szCs w:val="18"/>
        </w:rPr>
        <w:t xml:space="preserve">needs_sales = (</w:t>
      </w:r>
      <w:r>
        <w:br/>
      </w:r>
      <w:r>
        <w:rPr>
          <w:rFonts w:ascii="Consolas" w:cs="Consolas" w:eastAsia="Consolas" w:hAnsi="Consolas"/>
          <w:sz w:val="18"/>
          <w:szCs w:val="18"/>
        </w:rPr>
        <w:t xml:space="preserve">    crm_sales_details_silver["sls_sales"].isna()</w:t>
      </w:r>
      <w:r>
        <w:br/>
      </w:r>
      <w:r>
        <w:rPr>
          <w:rFonts w:ascii="Consolas" w:cs="Consolas" w:eastAsia="Consolas" w:hAnsi="Consolas"/>
          <w:sz w:val="18"/>
          <w:szCs w:val="18"/>
        </w:rPr>
        <w:t xml:space="preserve">    | (crm_sales_details_silver["sls_sales"] &lt; 0)</w:t>
      </w:r>
      <w:r>
        <w:br/>
      </w:r>
      <w:r>
        <w:rPr>
          <w:rFonts w:ascii="Consolas" w:cs="Consolas" w:eastAsia="Consolas" w:hAnsi="Consolas"/>
          <w:sz w:val="18"/>
          <w:szCs w:val="18"/>
        </w:rPr>
        <w:t xml:space="preserve">    | (crm_sales_details_silver["sls_sales"] != expected_sales)</w:t>
      </w:r>
      <w:r>
        <w:br/>
      </w:r>
      <w:r>
        <w:rPr>
          <w:rFonts w:ascii="Consolas" w:cs="Consolas" w:eastAsia="Consolas" w:hAnsi="Consolas"/>
          <w:sz w:val="18"/>
          <w:szCs w:val="18"/>
        </w:rPr>
        <w:t xml:space="preserve">)</w:t>
      </w:r>
      <w:r>
        <w:br/>
      </w:r>
      <w:r>
        <w:rPr>
          <w:rFonts w:ascii="Consolas" w:cs="Consolas" w:eastAsia="Consolas" w:hAnsi="Consolas"/>
          <w:sz w:val="18"/>
          <w:szCs w:val="18"/>
        </w:rPr>
        <w:t xml:space="preserve">crm_sales_details_silver.loc[needs_sales, "sls_sales"] = expected_sales[needs_sales]</w:t>
      </w:r>
    </w:p>
    <w:p>
      <w:pPr>
        <w:pStyle w:val="Heading3"/>
        <w:spacing w:after="100" w:before="200"/>
      </w:pPr>
      <w:r>
        <w:t xml:space="preserve">5.5 Join-key normalization (ERP tables)</w:t>
      </w:r>
    </w:p>
    <w:p>
      <w:pPr>
        <w:spacing w:after="160"/>
      </w:pPr>
      <w:r>
        <w:rPr>
          <w:rFonts w:ascii="Calibri" w:cs="Calibri" w:eastAsia="Calibri" w:hAnsi="Calibri"/>
          <w:sz w:val="22"/>
          <w:szCs w:val="22"/>
        </w:rPr>
        <w:t xml:space="preserve">The NAS prefix and stray hyphens found during profiling are stripped so ERP's customer id lines up with CRM's cst_key — without this step, every Gold-layer join against ERP data would silently drop rows instead of erroring, which is worse than a visible failure.</w:t>
      </w:r>
    </w:p>
    <w:p>
      <w:r>
        <w:br w:type="page"/>
      </w:r>
    </w:p>
    <w:p>
      <w:pPr>
        <w:pStyle w:val="Heading1"/>
        <w:spacing w:after="200" w:before="400"/>
      </w:pPr>
      <w:r>
        <w:t xml:space="preserve">6. Gold Layer — Star Schema</w:t>
      </w:r>
    </w:p>
    <w:p>
      <w:pPr>
        <w:spacing w:after="160"/>
      </w:pPr>
      <w:r>
        <w:rPr>
          <w:rFonts w:ascii="Calibri" w:cs="Calibri" w:eastAsia="Calibri" w:hAnsi="Calibri"/>
          <w:sz w:val="22"/>
          <w:szCs w:val="22"/>
        </w:rPr>
        <w:t xml:space="preserve">Gold reshapes the six Silver tables into a star schema: two dimensions and one fact table, joined with pandas merges.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400"/>
      </w:tblGrid>
      <w:tr>
        <w:tc>
          <w:tcPr>
            <w:tcW w:type="dxa" w:w="2400"/>
            <w:shd w:fill="1F3864" w:val="clear"/>
          </w:tcPr>
          <w:p>
            <w:r>
              <w:rPr>
                <w:rFonts w:ascii="Calibri" w:cs="Calibri" w:eastAsia="Calibri" w:hAnsi="Calibri"/>
                <w:b/>
                <w:bCs/>
                <w:color w:val="FFFFFF"/>
                <w:sz w:val="20"/>
                <w:szCs w:val="20"/>
              </w:rPr>
              <w:t xml:space="preserve">Table</w:t>
            </w:r>
          </w:p>
        </w:tc>
        <w:tc>
          <w:tcPr>
            <w:tcW w:type="dxa" w:w="1800"/>
            <w:shd w:fill="1F3864" w:val="clear"/>
          </w:tcPr>
          <w:p>
            <w:r>
              <w:rPr>
                <w:rFonts w:ascii="Calibri" w:cs="Calibri" w:eastAsia="Calibri" w:hAnsi="Calibri"/>
                <w:b/>
                <w:bCs/>
                <w:color w:val="FFFFFF"/>
                <w:sz w:val="20"/>
                <w:szCs w:val="20"/>
              </w:rPr>
              <w:t xml:space="preserve">Role</w:t>
            </w:r>
          </w:p>
        </w:tc>
        <w:tc>
          <w:tcPr>
            <w:tcW w:type="dxa" w:w="5400"/>
            <w:shd w:fill="1F3864" w:val="clear"/>
          </w:tcPr>
          <w:p>
            <w:r>
              <w:rPr>
                <w:rFonts w:ascii="Calibri" w:cs="Calibri" w:eastAsia="Calibri" w:hAnsi="Calibri"/>
                <w:b/>
                <w:bCs/>
                <w:color w:val="FFFFFF"/>
                <w:sz w:val="20"/>
                <w:szCs w:val="20"/>
              </w:rPr>
              <w:t xml:space="preserve">Key columns</w:t>
            </w:r>
          </w:p>
        </w:tc>
      </w:tr>
      <w:tr>
        <w:tc>
          <w:tcPr>
            <w:tcW w:type="dxa" w:w="2400"/>
          </w:tcPr>
          <w:p>
            <w:r>
              <w:rPr>
                <w:rFonts w:ascii="Calibri" w:cs="Calibri" w:eastAsia="Calibri" w:hAnsi="Calibri"/>
                <w:b w:val="false"/>
                <w:bCs w:val="false"/>
                <w:color w:val="000000"/>
                <w:sz w:val="20"/>
                <w:szCs w:val="20"/>
              </w:rPr>
              <w:t xml:space="preserve">dim_customers</w:t>
            </w:r>
          </w:p>
        </w:tc>
        <w:tc>
          <w:tcPr>
            <w:tcW w:type="dxa" w:w="1800"/>
          </w:tcPr>
          <w:p>
            <w:r>
              <w:rPr>
                <w:rFonts w:ascii="Calibri" w:cs="Calibri" w:eastAsia="Calibri" w:hAnsi="Calibri"/>
                <w:b w:val="false"/>
                <w:bCs w:val="false"/>
                <w:color w:val="000000"/>
                <w:sz w:val="20"/>
                <w:szCs w:val="20"/>
              </w:rPr>
              <w:t xml:space="preserve">Dimension</w:t>
            </w:r>
          </w:p>
        </w:tc>
        <w:tc>
          <w:tcPr>
            <w:tcW w:type="dxa" w:w="5400"/>
          </w:tcPr>
          <w:p>
            <w:r>
              <w:rPr>
                <w:rFonts w:ascii="Calibri" w:cs="Calibri" w:eastAsia="Calibri" w:hAnsi="Calibri"/>
                <w:b w:val="false"/>
                <w:bCs w:val="false"/>
                <w:color w:val="000000"/>
                <w:sz w:val="20"/>
                <w:szCs w:val="20"/>
              </w:rPr>
              <w:t xml:space="preserve">customer_key (surrogate), customer_id, country, gender, birthdate</w:t>
            </w:r>
          </w:p>
        </w:tc>
      </w:tr>
      <w:tr>
        <w:tc>
          <w:tcPr>
            <w:tcW w:type="dxa" w:w="2400"/>
          </w:tcPr>
          <w:p>
            <w:r>
              <w:rPr>
                <w:rFonts w:ascii="Calibri" w:cs="Calibri" w:eastAsia="Calibri" w:hAnsi="Calibri"/>
                <w:b w:val="false"/>
                <w:bCs w:val="false"/>
                <w:color w:val="000000"/>
                <w:sz w:val="20"/>
                <w:szCs w:val="20"/>
              </w:rPr>
              <w:t xml:space="preserve">dim_products</w:t>
            </w:r>
          </w:p>
        </w:tc>
        <w:tc>
          <w:tcPr>
            <w:tcW w:type="dxa" w:w="1800"/>
          </w:tcPr>
          <w:p>
            <w:r>
              <w:rPr>
                <w:rFonts w:ascii="Calibri" w:cs="Calibri" w:eastAsia="Calibri" w:hAnsi="Calibri"/>
                <w:b w:val="false"/>
                <w:bCs w:val="false"/>
                <w:color w:val="000000"/>
                <w:sz w:val="20"/>
                <w:szCs w:val="20"/>
              </w:rPr>
              <w:t xml:space="preserve">Dimension</w:t>
            </w:r>
          </w:p>
        </w:tc>
        <w:tc>
          <w:tcPr>
            <w:tcW w:type="dxa" w:w="5400"/>
          </w:tcPr>
          <w:p>
            <w:r>
              <w:rPr>
                <w:rFonts w:ascii="Calibri" w:cs="Calibri" w:eastAsia="Calibri" w:hAnsi="Calibri"/>
                <w:b w:val="false"/>
                <w:bCs w:val="false"/>
                <w:color w:val="000000"/>
                <w:sz w:val="20"/>
                <w:szCs w:val="20"/>
              </w:rPr>
              <w:t xml:space="preserve">product_key (surrogate), product_number, category, subcategory, cost</w:t>
            </w:r>
          </w:p>
        </w:tc>
      </w:tr>
      <w:tr>
        <w:tc>
          <w:tcPr>
            <w:tcW w:type="dxa" w:w="2400"/>
          </w:tcPr>
          <w:p>
            <w:r>
              <w:rPr>
                <w:rFonts w:ascii="Calibri" w:cs="Calibri" w:eastAsia="Calibri" w:hAnsi="Calibri"/>
                <w:b w:val="false"/>
                <w:bCs w:val="false"/>
                <w:color w:val="000000"/>
                <w:sz w:val="20"/>
                <w:szCs w:val="20"/>
              </w:rPr>
              <w:t xml:space="preserve">fact_sales</w:t>
            </w:r>
          </w:p>
        </w:tc>
        <w:tc>
          <w:tcPr>
            <w:tcW w:type="dxa" w:w="1800"/>
          </w:tcPr>
          <w:p>
            <w:r>
              <w:rPr>
                <w:rFonts w:ascii="Calibri" w:cs="Calibri" w:eastAsia="Calibri" w:hAnsi="Calibri"/>
                <w:b w:val="false"/>
                <w:bCs w:val="false"/>
                <w:color w:val="000000"/>
                <w:sz w:val="20"/>
                <w:szCs w:val="20"/>
              </w:rPr>
              <w:t xml:space="preserve">Fact</w:t>
            </w:r>
          </w:p>
        </w:tc>
        <w:tc>
          <w:tcPr>
            <w:tcW w:type="dxa" w:w="5400"/>
          </w:tcPr>
          <w:p>
            <w:r>
              <w:rPr>
                <w:rFonts w:ascii="Calibri" w:cs="Calibri" w:eastAsia="Calibri" w:hAnsi="Calibri"/>
                <w:b w:val="false"/>
                <w:bCs w:val="false"/>
                <w:color w:val="000000"/>
                <w:sz w:val="20"/>
                <w:szCs w:val="20"/>
              </w:rPr>
              <w:t xml:space="preserve">order_number, customer_key (FK), product_key (FK), sales_amount, quantity, price</w:t>
            </w:r>
          </w:p>
        </w:tc>
      </w:tr>
    </w:tbl>
    <w:p>
      <w:pPr>
        <w:spacing w:after="160"/>
      </w:pPr>
      <w:r>
        <w:rPr>
          <w:rFonts w:ascii="Calibri" w:cs="Calibri" w:eastAsia="Calibri" w:hAnsi="Calibri"/>
          <w:sz w:val="22"/>
          <w:szCs w:val="22"/>
        </w:rPr>
        <w:t xml:space="preserve"/>
      </w:r>
    </w:p>
    <w:p>
      <w:pPr>
        <w:spacing w:after="160"/>
      </w:pPr>
      <w:r>
        <w:rPr>
          <w:rFonts w:ascii="Calibri" w:cs="Calibri" w:eastAsia="Calibri" w:hAnsi="Calibri"/>
          <w:sz w:val="22"/>
          <w:szCs w:val="22"/>
        </w:rPr>
        <w:t xml:space="preserve">Surrogate keys replace the natural keys from the source systems, generated from row position at build time:</w:t>
      </w:r>
    </w:p>
    <w:p>
      <w:pPr>
        <w:pBdr>
          <w:top w:val="single" w:color="CCCCCC" w:sz="4"/>
          <w:bottom w:val="single" w:color="CCCCCC" w:sz="4"/>
          <w:left w:val="single" w:color="CCCCCC" w:sz="4"/>
          <w:right w:val="single" w:color="CCCCCC" w:sz="4"/>
        </w:pBdr>
        <w:shd w:fill="F2F2F2" w:val="clear"/>
        <w:spacing w:after="200" w:before="100"/>
      </w:pPr>
      <w:r>
        <w:rPr>
          <w:rFonts w:ascii="Consolas" w:cs="Consolas" w:eastAsia="Consolas" w:hAnsi="Consolas"/>
          <w:sz w:val="18"/>
          <w:szCs w:val="18"/>
        </w:rPr>
        <w:t xml:space="preserve">dim_customers = dim_customers.assign(customer_key=dim_customers.index + 1)[[...]]</w:t>
      </w:r>
    </w:p>
    <w:p>
      <w:pPr>
        <w:spacing w:after="160"/>
      </w:pPr>
      <w:r>
        <w:rPr>
          <w:rFonts w:ascii="Calibri" w:cs="Calibri" w:eastAsia="Calibri" w:hAnsi="Calibri"/>
          <w:sz w:val="22"/>
          <w:szCs w:val="22"/>
        </w:rPr>
        <w:t xml:space="preserve">dim_products filters to current product versions only (prd_end_dt is null after Silver's recompute), and fact_sales is built by merging Silver's sales table against both dimension tables to pick up their surrogate keys.</w:t>
      </w:r>
    </w:p>
    <w:p>
      <w:pPr>
        <w:pStyle w:val="Heading3"/>
        <w:spacing w:after="100" w:before="200"/>
      </w:pPr>
      <w:r>
        <w:t xml:space="preserve">6.1 A deliberate tradeoff: tables, not views</w:t>
      </w:r>
    </w:p>
    <w:p>
      <w:pPr>
        <w:spacing w:after="160"/>
      </w:pPr>
      <w:r>
        <w:rPr>
          <w:rFonts w:ascii="Calibri" w:cs="Calibri" w:eastAsia="Calibri" w:hAnsi="Calibri"/>
          <w:sz w:val="22"/>
          <w:szCs w:val="22"/>
        </w:rPr>
        <w:t xml:space="preserve">The original design point for Gold was SQL views — CREATE OR REPLACE VIEW — so Gold would always reflect the latest Silver data automatically, with no separate load step. Once the transform logic moved to pandas, that stopped being possible: a pandas DataFrame is an in-memory object, not a database object, so it can't define a view.</w:t>
      </w:r>
    </w:p>
    <w:p>
      <w:pPr>
        <w:spacing w:after="160"/>
      </w:pPr>
      <w:r>
        <w:rPr>
          <w:rFonts w:ascii="Calibri" w:cs="Calibri" w:eastAsia="Calibri" w:hAnsi="Calibri"/>
          <w:sz w:val="22"/>
          <w:szCs w:val="22"/>
        </w:rPr>
        <w:t xml:space="preserve">Gold is therefore physical Delta tables here. The consequence: 03_gold_tables has to be re-run after every Silver refresh to stay current — it's no longer automatic. This is called out explicitly in the notebook itself and in docs/data_catalog.md so it isn't a surprise later.</w:t>
      </w:r>
    </w:p>
    <w:p>
      <w:pPr>
        <w:pStyle w:val="Heading1"/>
        <w:spacing w:after="200" w:before="400"/>
      </w:pPr>
      <w:r>
        <w:t xml:space="preserve">7. Validation</w:t>
      </w:r>
    </w:p>
    <w:p>
      <w:pPr>
        <w:spacing w:after="160"/>
      </w:pPr>
      <w:r>
        <w:rPr>
          <w:rFonts w:ascii="Calibri" w:cs="Calibri" w:eastAsia="Calibri" w:hAnsi="Calibri"/>
          <w:sz w:val="22"/>
          <w:szCs w:val="22"/>
        </w:rPr>
        <w:t xml:space="preserve">The same categories of checks run against every layer, in pandas, and are expected to return empty results on a healthy pipeline:</w:t>
      </w:r>
    </w:p>
    <w:p>
      <w:pPr>
        <w:pStyle w:val="ListParagraph"/>
        <w:numPr>
          <w:ilvl w:val="0"/>
          <w:numId w:val="1"/>
        </w:numPr>
        <w:spacing w:after="80"/>
      </w:pPr>
      <w:r>
        <w:rPr>
          <w:rFonts w:ascii="Calibri" w:cs="Calibri" w:eastAsia="Calibri" w:hAnsi="Calibri"/>
          <w:sz w:val="22"/>
          <w:szCs w:val="22"/>
        </w:rPr>
        <w:t xml:space="preserve">No duplicate cst_id / prd_key in Silver.</w:t>
      </w:r>
    </w:p>
    <w:p>
      <w:pPr>
        <w:pStyle w:val="ListParagraph"/>
        <w:numPr>
          <w:ilvl w:val="0"/>
          <w:numId w:val="1"/>
        </w:numPr>
        <w:spacing w:after="80"/>
      </w:pPr>
      <w:r>
        <w:rPr>
          <w:rFonts w:ascii="Calibri" w:cs="Calibri" w:eastAsia="Calibri" w:hAnsi="Calibri"/>
          <w:sz w:val="22"/>
          <w:szCs w:val="22"/>
        </w:rPr>
        <w:t xml:space="preserve">Categorical columns limited to their approved value sets (Male/Female/n/a, etc.).</w:t>
      </w:r>
    </w:p>
    <w:p>
      <w:pPr>
        <w:pStyle w:val="ListParagraph"/>
        <w:numPr>
          <w:ilvl w:val="0"/>
          <w:numId w:val="1"/>
        </w:numPr>
        <w:spacing w:after="80"/>
      </w:pPr>
      <w:r>
        <w:rPr>
          <w:rFonts w:ascii="Calibri" w:cs="Calibri" w:eastAsia="Calibri" w:hAnsi="Calibri"/>
          <w:sz w:val="22"/>
          <w:szCs w:val="22"/>
        </w:rPr>
        <w:t xml:space="preserve">order_dt never after ship_dt or due_dt.</w:t>
      </w:r>
    </w:p>
    <w:p>
      <w:pPr>
        <w:pStyle w:val="ListParagraph"/>
        <w:numPr>
          <w:ilvl w:val="0"/>
          <w:numId w:val="1"/>
        </w:numPr>
        <w:spacing w:after="80"/>
      </w:pPr>
      <w:r>
        <w:rPr>
          <w:rFonts w:ascii="Calibri" w:cs="Calibri" w:eastAsia="Calibri" w:hAnsi="Calibri"/>
          <w:sz w:val="22"/>
          <w:szCs w:val="22"/>
        </w:rPr>
        <w:t xml:space="preserve">sls_sales == sls_quantity × sls_price, with both quantity and price positive.</w:t>
      </w:r>
    </w:p>
    <w:p>
      <w:pPr>
        <w:pStyle w:val="ListParagraph"/>
        <w:numPr>
          <w:ilvl w:val="0"/>
          <w:numId w:val="1"/>
        </w:numPr>
        <w:spacing w:after="80"/>
      </w:pPr>
      <w:r>
        <w:rPr>
          <w:rFonts w:ascii="Calibri" w:cs="Calibri" w:eastAsia="Calibri" w:hAnsi="Calibri"/>
          <w:sz w:val="22"/>
          <w:szCs w:val="22"/>
        </w:rPr>
        <w:t xml:space="preserve">No sales rows referencing a customer or product that doesn't exist in the corresponding dimension source.</w:t>
      </w:r>
    </w:p>
    <w:p>
      <w:pPr>
        <w:pStyle w:val="ListParagraph"/>
        <w:numPr>
          <w:ilvl w:val="0"/>
          <w:numId w:val="1"/>
        </w:numPr>
        <w:spacing w:after="80"/>
      </w:pPr>
      <w:r>
        <w:rPr>
          <w:rFonts w:ascii="Calibri" w:cs="Calibri" w:eastAsia="Calibri" w:hAnsi="Calibri"/>
          <w:sz w:val="22"/>
          <w:szCs w:val="22"/>
        </w:rPr>
        <w:t xml:space="preserve">Row counts match between silver.crm_sales_details and gold.fact_sales.</w:t>
      </w:r>
    </w:p>
    <w:p>
      <w:pPr>
        <w:pStyle w:val="ListParagraph"/>
        <w:numPr>
          <w:ilvl w:val="0"/>
          <w:numId w:val="1"/>
        </w:numPr>
        <w:spacing w:after="80"/>
      </w:pPr>
      <w:r>
        <w:rPr>
          <w:rFonts w:ascii="Calibri" w:cs="Calibri" w:eastAsia="Calibri" w:hAnsi="Calibri"/>
          <w:sz w:val="22"/>
          <w:szCs w:val="22"/>
        </w:rPr>
        <w:t xml:space="preserve">No null surrogate keys in fact_sales.</w:t>
      </w:r>
    </w:p>
    <w:p>
      <w:pPr>
        <w:pBdr>
          <w:top w:val="single" w:color="CCCCCC" w:sz="4"/>
          <w:bottom w:val="single" w:color="CCCCCC" w:sz="4"/>
          <w:left w:val="single" w:color="CCCCCC" w:sz="4"/>
          <w:right w:val="single" w:color="CCCCCC" w:sz="4"/>
        </w:pBdr>
        <w:shd w:fill="F2F2F2" w:val="clear"/>
        <w:spacing w:after="200" w:before="100"/>
      </w:pPr>
      <w:r>
        <w:rPr>
          <w:rFonts w:ascii="Consolas" w:cs="Consolas" w:eastAsia="Consolas" w:hAnsi="Consolas"/>
          <w:sz w:val="18"/>
          <w:szCs w:val="18"/>
        </w:rPr>
        <w:t xml:space="preserve">bad_sales = silver_sales[</w:t>
      </w:r>
      <w:r>
        <w:br/>
      </w:r>
      <w:r>
        <w:rPr>
          <w:rFonts w:ascii="Consolas" w:cs="Consolas" w:eastAsia="Consolas" w:hAnsi="Consolas"/>
          <w:sz w:val="18"/>
          <w:szCs w:val="18"/>
        </w:rPr>
        <w:t xml:space="preserve">    (silver_sales["sls_sales"] != silver_sales["sls_quantity"] * silver_sales["sls_price"])</w:t>
      </w:r>
      <w:r>
        <w:br/>
      </w:r>
      <w:r>
        <w:rPr>
          <w:rFonts w:ascii="Consolas" w:cs="Consolas" w:eastAsia="Consolas" w:hAnsi="Consolas"/>
          <w:sz w:val="18"/>
          <w:szCs w:val="18"/>
        </w:rPr>
        <w:t xml:space="preserve">    | (silver_sales["sls_quantity"] &lt;= 0)</w:t>
      </w:r>
      <w:r>
        <w:br/>
      </w:r>
      <w:r>
        <w:rPr>
          <w:rFonts w:ascii="Consolas" w:cs="Consolas" w:eastAsia="Consolas" w:hAnsi="Consolas"/>
          <w:sz w:val="18"/>
          <w:szCs w:val="18"/>
        </w:rPr>
        <w:t xml:space="preserve">    | (silver_sales["sls_price"] &lt;= 0)</w:t>
      </w:r>
      <w:r>
        <w:br/>
      </w:r>
      <w:r>
        <w:rPr>
          <w:rFonts w:ascii="Consolas" w:cs="Consolas" w:eastAsia="Consolas" w:hAnsi="Consolas"/>
          <w:sz w:val="18"/>
          <w:szCs w:val="18"/>
        </w:rPr>
        <w:t xml:space="preserve">]</w:t>
      </w:r>
      <w:r>
        <w:br/>
      </w:r>
      <w:r>
        <w:rPr>
          <w:rFonts w:ascii="Consolas" w:cs="Consolas" w:eastAsia="Consolas" w:hAnsi="Consolas"/>
          <w:sz w:val="18"/>
          <w:szCs w:val="18"/>
        </w:rPr>
        <w:t xml:space="preserve">print("rows failing sales = quantity * price:", len(bad_sales))</w:t>
      </w:r>
    </w:p>
    <w:p>
      <w:pPr>
        <w:pStyle w:val="Heading1"/>
        <w:spacing w:after="200" w:before="400"/>
      </w:pPr>
      <w:r>
        <w:t xml:space="preserve">8. Repository Structure</w:t>
      </w:r>
    </w:p>
    <w:p>
      <w:pPr>
        <w:pBdr>
          <w:top w:val="single" w:color="CCCCCC" w:sz="4"/>
          <w:bottom w:val="single" w:color="CCCCCC" w:sz="4"/>
          <w:left w:val="single" w:color="CCCCCC" w:sz="4"/>
          <w:right w:val="single" w:color="CCCCCC" w:sz="4"/>
        </w:pBdr>
        <w:shd w:fill="F2F2F2" w:val="clear"/>
        <w:spacing w:after="200" w:before="100"/>
      </w:pPr>
      <w:r>
        <w:rPr>
          <w:rFonts w:ascii="Consolas" w:cs="Consolas" w:eastAsia="Consolas" w:hAnsi="Consolas"/>
          <w:sz w:val="18"/>
          <w:szCs w:val="18"/>
        </w:rPr>
        <w:t xml:space="preserve">/datasets                       six source CSVs</w:t>
      </w:r>
      <w:r>
        <w:br/>
      </w:r>
      <w:r>
        <w:rPr>
          <w:rFonts w:ascii="Consolas" w:cs="Consolas" w:eastAsia="Consolas" w:hAnsi="Consolas"/>
          <w:sz w:val="18"/>
          <w:szCs w:val="18"/>
        </w:rPr>
        <w:t xml:space="preserve">/exploration                    data_profiling.py — the findings behind every Silver rule</w:t>
      </w:r>
      <w:r>
        <w:br/>
      </w:r>
      <w:r>
        <w:rPr>
          <w:rFonts w:ascii="Consolas" w:cs="Consolas" w:eastAsia="Consolas" w:hAnsi="Consolas"/>
          <w:sz w:val="18"/>
          <w:szCs w:val="18"/>
        </w:rPr>
        <w:t xml:space="preserve">/notebooks/00_setup             catalog, schemas, volume creation</w:t>
      </w:r>
      <w:r>
        <w:br/>
      </w:r>
      <w:r>
        <w:rPr>
          <w:rFonts w:ascii="Consolas" w:cs="Consolas" w:eastAsia="Consolas" w:hAnsi="Consolas"/>
          <w:sz w:val="18"/>
          <w:szCs w:val="18"/>
        </w:rPr>
        <w:t xml:space="preserve">/notebooks/01_bronze_ingestion  raw load into Bronze Delta tables</w:t>
      </w:r>
      <w:r>
        <w:br/>
      </w:r>
      <w:r>
        <w:rPr>
          <w:rFonts w:ascii="Consolas" w:cs="Consolas" w:eastAsia="Consolas" w:hAnsi="Consolas"/>
          <w:sz w:val="18"/>
          <w:szCs w:val="18"/>
        </w:rPr>
        <w:t xml:space="preserve">/notebooks/02_silver_transformation</w:t>
      </w:r>
      <w:r>
        <w:br/>
      </w:r>
      <w:r>
        <w:rPr>
          <w:rFonts w:ascii="Consolas" w:cs="Consolas" w:eastAsia="Consolas" w:hAnsi="Consolas"/>
          <w:sz w:val="18"/>
          <w:szCs w:val="18"/>
        </w:rPr>
        <w:t xml:space="preserve">                                 cleansing, standardization, business rules</w:t>
      </w:r>
      <w:r>
        <w:br/>
      </w:r>
      <w:r>
        <w:rPr>
          <w:rFonts w:ascii="Consolas" w:cs="Consolas" w:eastAsia="Consolas" w:hAnsi="Consolas"/>
          <w:sz w:val="18"/>
          <w:szCs w:val="18"/>
        </w:rPr>
        <w:t xml:space="preserve">/notebooks/03_gold_tables       star schema build</w:t>
      </w:r>
      <w:r>
        <w:br/>
      </w:r>
      <w:r>
        <w:rPr>
          <w:rFonts w:ascii="Consolas" w:cs="Consolas" w:eastAsia="Consolas" w:hAnsi="Consolas"/>
          <w:sz w:val="18"/>
          <w:szCs w:val="18"/>
        </w:rPr>
        <w:t xml:space="preserve">/tests                          validation checks</w:t>
      </w:r>
      <w:r>
        <w:br/>
      </w:r>
      <w:r>
        <w:rPr>
          <w:rFonts w:ascii="Consolas" w:cs="Consolas" w:eastAsia="Consolas" w:hAnsi="Consolas"/>
          <w:sz w:val="18"/>
          <w:szCs w:val="18"/>
        </w:rPr>
        <w:t xml:space="preserve">/docs                           this report, data catalog, schema design, setup guide</w:t>
      </w:r>
    </w:p>
    <w:p>
      <w:pPr>
        <w:pStyle w:val="Heading1"/>
        <w:spacing w:after="200" w:before="400"/>
      </w:pPr>
      <w:r>
        <w:t xml:space="preserve">9. Roadmap</w:t>
      </w:r>
    </w:p>
    <w:p>
      <w:pPr>
        <w:pStyle w:val="ListParagraph"/>
        <w:numPr>
          <w:ilvl w:val="0"/>
          <w:numId w:val="1"/>
        </w:numPr>
        <w:spacing w:after="80"/>
      </w:pPr>
      <w:r>
        <w:rPr>
          <w:rFonts w:ascii="Calibri" w:cs="Calibri" w:eastAsia="Calibri" w:hAnsi="Calibri"/>
          <w:sz w:val="22"/>
          <w:szCs w:val="22"/>
        </w:rPr>
        <w:t xml:space="preserve">Re-introduce Gold as views once/if the transform layer moves back to Spark — removes the manual re-run dependency noted in section 6.1.</w:t>
      </w:r>
    </w:p>
    <w:p>
      <w:pPr>
        <w:pStyle w:val="ListParagraph"/>
        <w:numPr>
          <w:ilvl w:val="0"/>
          <w:numId w:val="1"/>
        </w:numPr>
        <w:spacing w:after="80"/>
      </w:pPr>
      <w:r>
        <w:rPr>
          <w:rFonts w:ascii="Calibri" w:cs="Calibri" w:eastAsia="Calibri" w:hAnsi="Calibri"/>
          <w:sz w:val="22"/>
          <w:szCs w:val="22"/>
        </w:rPr>
        <w:t xml:space="preserve">If source volume grows past what a single node comfortably holds, revisit whether pandas is still the right choice for Silver/Gold, or move to pyspark.pandas to keep the same code style but distributed.</w:t>
      </w:r>
    </w:p>
    <w:p>
      <w:pPr>
        <w:pStyle w:val="ListParagraph"/>
        <w:numPr>
          <w:ilvl w:val="0"/>
          <w:numId w:val="1"/>
        </w:numPr>
        <w:spacing w:after="80"/>
      </w:pPr>
      <w:r>
        <w:rPr>
          <w:rFonts w:ascii="Calibri" w:cs="Calibri" w:eastAsia="Calibri" w:hAnsi="Calibri"/>
          <w:sz w:val="22"/>
          <w:szCs w:val="22"/>
        </w:rPr>
        <w:t xml:space="preserve">Add a scheduled Databricks Job to chain 01 → 02 → 03 → validation automatically instead of manual notebook runs.</w:t>
      </w:r>
    </w:p>
    <w:p>
      <w:pPr>
        <w:pStyle w:val="ListParagraph"/>
        <w:numPr>
          <w:ilvl w:val="0"/>
          <w:numId w:val="1"/>
        </w:numPr>
        <w:spacing w:after="80"/>
      </w:pPr>
      <w:r>
        <w:rPr>
          <w:rFonts w:ascii="Calibri" w:cs="Calibri" w:eastAsia="Calibri" w:hAnsi="Calibri"/>
          <w:sz w:val="22"/>
          <w:szCs w:val="22"/>
        </w:rPr>
        <w:t xml:space="preserve">Add row-level data quality metrics (e.g. % of rows defaulted to 'n/a') as a tracked metric over time, not just a pass/fail validation check.</w:t>
      </w:r>
    </w:p>
    <w:p>
      <w:pPr>
        <w:pStyle w:val="Heading1"/>
        <w:spacing w:after="200" w:before="400"/>
      </w:pPr>
      <w:r>
        <w:t xml:space="preserve">10. Conclusion</w:t>
      </w:r>
    </w:p>
    <w:p>
      <w:pPr>
        <w:spacing w:after="160"/>
      </w:pPr>
      <w:r>
        <w:rPr>
          <w:rFonts w:ascii="Calibri" w:cs="Calibri" w:eastAsia="Calibri" w:hAnsi="Calibri"/>
          <w:sz w:val="22"/>
          <w:szCs w:val="22"/>
        </w:rPr>
        <w:t xml:space="preserve">The pipeline takes two source systems with real, undocumented data quality problems and produces a warehouse where none of those problems are visible downstream — every cleaning decision traces back to a documented finding, every load is idempotent, and every layer is independently checkable. The one open tradeoff (Gold as tables instead of views) is intentional and documented rather than accidental, which is the more important property for a portfolio piece than any single implementation choice.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2026-08-02T17:36:06.962Z</dcterms:created>
  <dcterms:modified xsi:type="dcterms:W3CDTF">2026-08-02T17:36:06.980Z</dcterms:modified>
</cp:coreProperties>
</file>

<file path=docProps/custom.xml><?xml version="1.0" encoding="utf-8"?>
<Properties xmlns="http://schemas.openxmlformats.org/officeDocument/2006/custom-properties" xmlns:vt="http://schemas.openxmlformats.org/officeDocument/2006/docPropsVTypes"/>
</file>