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103/2026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UNICINQ HOLDING </w:t>
      </w:r>
      <w:proofErr w:type="gramEnd"/>
      <w:r w:rsidRPr="00F60B80">
        <w:br/>
        <w:t xml:space="preserve">Adresse :  LOTISSEMENT AL KASR ZONE INDUSTRIELLE SKHIRAT BUSINESS VALLEY OUED YEKEM SKHIRAT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EZYAT CHARIFA HASNA </w:t>
      </w:r>
      <w:r w:rsidRPr="00F60B80">
        <w:br/>
        <w:t xml:space="preserve">CIN :  JM111166 </w:t>
      </w:r>
      <w:r w:rsidRPr="00F60B80">
        <w:br/>
        <w:t xml:space="preserve">Date de naissance :  21/01/2005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AGADIR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AG1108261157825/1 </w:t>
      </w:r>
      <w:r/>
      <w:r w:rsidRPr="000C6267">
        <w:t xml:space="preserve">, signé le  13/08/2026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AG1108261157825/1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13/08/2026.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Agadir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