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36"/>
        </w:rPr>
        <w:t>🕸️ CARTOGRAPHIE DES PARTENAIRES &amp; FICHE DE LIAISON</w:t>
      </w:r>
    </w:p>
    <w:p>
      <w:pPr>
        <w:ind w:left="288"/>
      </w:pPr>
      <w:r>
        <w:rPr>
          <w:i/>
          <w:color w:val="555555"/>
        </w:rPr>
        <w:t>Beaucoup de freins à l'emploi (garde d'enfants, santé, logement, langue, papiers) ne se lèvent pas</w:t>
      </w:r>
    </w:p>
    <w:p>
      <w:pPr>
        <w:ind w:left="288"/>
      </w:pPr>
      <w:r>
        <w:rPr>
          <w:i/>
          <w:color w:val="555555"/>
        </w:rPr>
        <w:t xml:space="preserve">à l'agence. Le conseiller doit savoir </w:t>
      </w:r>
      <w:r>
        <w:rPr>
          <w:b/>
          <w:i/>
          <w:color w:val="555555"/>
        </w:rPr>
        <w:t>à qui orienter</w:t>
      </w:r>
      <w:r>
        <w:rPr>
          <w:i/>
          <w:color w:val="555555"/>
        </w:rPr>
        <w:t xml:space="preserve">, </w:t>
      </w:r>
      <w:r>
        <w:rPr>
          <w:b/>
          <w:i/>
          <w:color w:val="555555"/>
        </w:rPr>
        <w:t>comment</w:t>
      </w:r>
      <w:r>
        <w:rPr>
          <w:i/>
          <w:color w:val="555555"/>
        </w:rPr>
        <w:t xml:space="preserve"> et **vérifier que l'orientation</w:t>
      </w:r>
    </w:p>
    <w:p>
      <w:pPr>
        <w:ind w:left="288"/>
      </w:pPr>
      <w:r>
        <w:rPr>
          <w:i/>
          <w:color w:val="555555"/>
        </w:rPr>
        <w:t>a abouti**. Cette fiche sert à construire l'annuaire local et à tracer chaque orientation.</w:t>
      </w:r>
    </w:p>
    <w:p/>
    <w:p>
      <w:pPr>
        <w:pStyle w:val="Heading2"/>
      </w:pPr>
      <w:r>
        <w:t>1. Cartographie des partenaires par type de frein</w:t>
      </w:r>
    </w:p>
    <w:p>
      <w:pPr>
        <w:ind w:left="288"/>
      </w:pPr>
      <w:r>
        <w:rPr>
          <w:i/>
          <w:color w:val="555555"/>
        </w:rPr>
        <w:t>À compléter pour votre territoire : nom exact, adresse, contact nominatif, conditions d'accès.</w:t>
      </w:r>
    </w:p>
    <w:p>
      <w:pPr>
        <w:ind w:left="288"/>
      </w:pPr>
      <w:r>
        <w:rPr>
          <w:i/>
          <w:color w:val="555555"/>
        </w:rPr>
        <w:t xml:space="preserve">Les familles ci-dessous sont des </w:t>
      </w:r>
      <w:r>
        <w:rPr>
          <w:b/>
          <w:i/>
          <w:color w:val="555555"/>
        </w:rPr>
        <w:t>exemples de types d'acteurs</w:t>
      </w:r>
      <w:r>
        <w:rPr>
          <w:i/>
          <w:color w:val="555555"/>
        </w:rPr>
        <w:t xml:space="preserve"> au Maroc — vérifier localement.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Frein / besoin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Types de partenaires à identifier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Nom · contact local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Conditions d'accès</w:t>
            </w:r>
          </w:p>
        </w:tc>
      </w:tr>
      <w:tr>
        <w:tc>
          <w:tcPr>
            <w:tcW w:type="dxa" w:w="2484"/>
          </w:tcPr>
          <w:p>
            <w:r>
              <w:rPr>
                <w:b/>
                <w:sz w:val="19"/>
              </w:rPr>
              <w:t>Formation qualifiante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OFPPT, Cités des métiers et des compétences, instituts sectoriels, centres de formation privés agréés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  <w:shd w:val="clear" w:color="auto" w:fill="EEF3F8"/>
          </w:tcPr>
          <w:p>
            <w:r>
              <w:rPr>
                <w:b/>
                <w:sz w:val="19"/>
              </w:rPr>
              <w:t>Alphabétisation, langues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Programmes d'alphabétisation, associations, instituts de langue</w:t>
            </w:r>
          </w:p>
        </w:tc>
        <w:tc>
          <w:tcPr>
            <w:tcW w:type="dxa" w:w="2484"/>
            <w:shd w:val="clear" w:color="auto" w:fill="EEF3F8"/>
          </w:tcPr>
          <w:p/>
        </w:tc>
        <w:tc>
          <w:tcPr>
            <w:tcW w:type="dxa" w:w="2484"/>
            <w:shd w:val="clear" w:color="auto" w:fill="EEF3F8"/>
          </w:tcPr>
          <w:p/>
        </w:tc>
      </w:tr>
      <w:tr>
        <w:tc>
          <w:tcPr>
            <w:tcW w:type="dxa" w:w="2484"/>
          </w:tcPr>
          <w:p>
            <w:r>
              <w:rPr>
                <w:b/>
                <w:sz w:val="19"/>
              </w:rPr>
              <w:t>Social, précarité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Entraide nationale, centres sociaux, associations d'action sociale, INDH (programmes locaux)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  <w:shd w:val="clear" w:color="auto" w:fill="EEF3F8"/>
          </w:tcPr>
          <w:p>
            <w:r>
              <w:rPr>
                <w:b/>
                <w:sz w:val="19"/>
              </w:rPr>
              <w:t>Santé, handicap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Centres de santé, associations spécialisées handicap, services de réadaptation</w:t>
            </w:r>
          </w:p>
        </w:tc>
        <w:tc>
          <w:tcPr>
            <w:tcW w:type="dxa" w:w="2484"/>
            <w:shd w:val="clear" w:color="auto" w:fill="EEF3F8"/>
          </w:tcPr>
          <w:p/>
        </w:tc>
        <w:tc>
          <w:tcPr>
            <w:tcW w:type="dxa" w:w="2484"/>
            <w:shd w:val="clear" w:color="auto" w:fill="EEF3F8"/>
          </w:tcPr>
          <w:p/>
        </w:tc>
      </w:tr>
      <w:tr>
        <w:tc>
          <w:tcPr>
            <w:tcW w:type="dxa" w:w="2484"/>
          </w:tcPr>
          <w:p>
            <w:r>
              <w:rPr>
                <w:b/>
                <w:sz w:val="19"/>
              </w:rPr>
              <w:t>Garde d'enfants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Crèches et garderies (communales, associatives), jardins d'enfants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  <w:shd w:val="clear" w:color="auto" w:fill="EEF3F8"/>
          </w:tcPr>
          <w:p>
            <w:r>
              <w:rPr>
                <w:b/>
                <w:sz w:val="19"/>
              </w:rPr>
              <w:t>Mobilité, transport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Collectivités, employeurs (transport du personnel), associations</w:t>
            </w:r>
          </w:p>
        </w:tc>
        <w:tc>
          <w:tcPr>
            <w:tcW w:type="dxa" w:w="2484"/>
            <w:shd w:val="clear" w:color="auto" w:fill="EEF3F8"/>
          </w:tcPr>
          <w:p/>
        </w:tc>
        <w:tc>
          <w:tcPr>
            <w:tcW w:type="dxa" w:w="2484"/>
            <w:shd w:val="clear" w:color="auto" w:fill="EEF3F8"/>
          </w:tcPr>
          <w:p/>
        </w:tc>
      </w:tr>
      <w:tr>
        <w:tc>
          <w:tcPr>
            <w:tcW w:type="dxa" w:w="2484"/>
          </w:tcPr>
          <w:p>
            <w:r>
              <w:rPr>
                <w:b/>
                <w:sz w:val="19"/>
              </w:rPr>
              <w:t>Création d'activité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Centres régionaux d'investissement (CRI), Maroc PME, banques (programmes de financement), incubateurs, INDH, associations de microcrédit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  <w:shd w:val="clear" w:color="auto" w:fill="EEF3F8"/>
          </w:tcPr>
          <w:p>
            <w:r>
              <w:rPr>
                <w:b/>
                <w:sz w:val="19"/>
              </w:rPr>
              <w:t>Droits, démarches administratives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Administrations locales, CNSS, services d'état civil, associations d'accès aux droits</w:t>
            </w:r>
          </w:p>
        </w:tc>
        <w:tc>
          <w:tcPr>
            <w:tcW w:type="dxa" w:w="2484"/>
            <w:shd w:val="clear" w:color="auto" w:fill="EEF3F8"/>
          </w:tcPr>
          <w:p/>
        </w:tc>
        <w:tc>
          <w:tcPr>
            <w:tcW w:type="dxa" w:w="2484"/>
            <w:shd w:val="clear" w:color="auto" w:fill="EEF3F8"/>
          </w:tcPr>
          <w:p/>
        </w:tc>
      </w:tr>
      <w:tr>
        <w:tc>
          <w:tcPr>
            <w:tcW w:type="dxa" w:w="2484"/>
          </w:tcPr>
          <w:p>
            <w:r>
              <w:rPr>
                <w:b/>
                <w:sz w:val="19"/>
              </w:rPr>
              <w:t>Femmes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Associations féminines, coopératives, espaces multifonctionnels pour femmes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  <w:shd w:val="clear" w:color="auto" w:fill="EEF3F8"/>
          </w:tcPr>
          <w:p>
            <w:r>
              <w:rPr>
                <w:b/>
                <w:sz w:val="19"/>
              </w:rPr>
              <w:t>Jeunes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Maisons des jeunes, centres socio-culturels, associations de quartier</w:t>
            </w:r>
          </w:p>
        </w:tc>
        <w:tc>
          <w:tcPr>
            <w:tcW w:type="dxa" w:w="2484"/>
            <w:shd w:val="clear" w:color="auto" w:fill="EEF3F8"/>
          </w:tcPr>
          <w:p/>
        </w:tc>
        <w:tc>
          <w:tcPr>
            <w:tcW w:type="dxa" w:w="2484"/>
            <w:shd w:val="clear" w:color="auto" w:fill="EEF3F8"/>
          </w:tcPr>
          <w:p/>
        </w:tc>
      </w:tr>
      <w:tr>
        <w:tc>
          <w:tcPr>
            <w:tcW w:type="dxa" w:w="2484"/>
          </w:tcPr>
          <w:p>
            <w:r>
              <w:rPr>
                <w:b/>
                <w:sz w:val="19"/>
              </w:rPr>
              <w:t>Migrants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Associations d'accueil des migrants, organisations internationales présentes localement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  <w:shd w:val="clear" w:color="auto" w:fill="EEF3F8"/>
          </w:tcPr>
          <w:p>
            <w:r>
              <w:rPr>
                <w:b/>
                <w:sz w:val="19"/>
              </w:rPr>
              <w:t>Employeurs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Associations professionnelles, fédérations, chambres de commerce, CGEM régionale, zones industrielles</w:t>
            </w:r>
          </w:p>
        </w:tc>
        <w:tc>
          <w:tcPr>
            <w:tcW w:type="dxa" w:w="2484"/>
            <w:shd w:val="clear" w:color="auto" w:fill="EEF3F8"/>
          </w:tcPr>
          <w:p/>
        </w:tc>
        <w:tc>
          <w:tcPr>
            <w:tcW w:type="dxa" w:w="2484"/>
            <w:shd w:val="clear" w:color="auto" w:fill="EEF3F8"/>
          </w:tcPr>
          <w:p/>
        </w:tc>
      </w:tr>
    </w:tbl>
    <w:p/>
    <w:p/>
    <w:p>
      <w:pPr>
        <w:pStyle w:val="Heading2"/>
      </w:pPr>
      <w:r>
        <w:t>2. Règles d'une bonne orientation</w:t>
      </w:r>
    </w:p>
    <w:p>
      <w:pPr>
        <w:pStyle w:val="ListNumber"/>
      </w:pPr>
      <w:r>
        <w:rPr>
          <w:b/>
        </w:rPr>
        <w:t>Accord de la personne</w:t>
      </w:r>
      <w:r>
        <w:rPr/>
        <w:t xml:space="preserve"> avant toute transmission d'information (module 01, consentement).</w:t>
      </w:r>
    </w:p>
    <w:p>
      <w:pPr>
        <w:pStyle w:val="ListNumber"/>
      </w:pPr>
      <w:r>
        <w:rPr>
          <w:b/>
        </w:rPr>
        <w:t>Contact nominatif</w:t>
      </w:r>
      <w:r>
        <w:rPr/>
        <w:t xml:space="preserve"> : orienter vers une personne, pas vers une adresse.</w:t>
      </w:r>
    </w:p>
    <w:p>
      <w:pPr>
        <w:pStyle w:val="ListNumber"/>
      </w:pPr>
      <w:r>
        <w:rPr>
          <w:b/>
        </w:rPr>
        <w:t>Fiche de liaison</w:t>
      </w:r>
      <w:r>
        <w:rPr/>
        <w:t xml:space="preserve"> remplie et remise (§3) — la personne n'a pas à tout réexpliquer.</w:t>
      </w:r>
    </w:p>
    <w:p>
      <w:pPr>
        <w:pStyle w:val="ListNumber"/>
      </w:pPr>
      <w:r>
        <w:rPr>
          <w:b/>
        </w:rPr>
        <w:t>Vérifier l'aboutissement</w:t>
      </w:r>
      <w:r>
        <w:rPr/>
        <w:t xml:space="preserve"> : appel à la personne sous 15 jours, point avec le partenaire.</w:t>
      </w:r>
    </w:p>
    <w:p>
      <w:pPr>
        <w:pStyle w:val="ListNumber"/>
      </w:pPr>
      <w:r>
        <w:rPr>
          <w:b/>
        </w:rPr>
        <w:t>Garder la main</w:t>
      </w:r>
      <w:r>
        <w:rPr/>
        <w:t xml:space="preserve"> sur le parcours emploi : l'orientation n'est pas une sortie, sauf si l'emploi</w:t>
      </w:r>
    </w:p>
    <w:p>
      <w:r>
        <w:rPr/>
        <w:t>n'est plus l'objectif à court terme (code S6, module 10).</w:t>
      </w:r>
    </w:p>
    <w:p/>
    <w:p>
      <w:pPr>
        <w:pStyle w:val="Heading2"/>
      </w:pPr>
      <w:r>
        <w:t>3. Fiche de liaison agence ↔ partenaire</w:t>
      </w:r>
    </w:p>
    <w:p>
      <w:r>
        <w:rPr>
          <w:rFonts w:ascii="Consolas" w:hAnsi="Consolas"/>
          <w:sz w:val="17"/>
        </w:rPr>
        <w:t>FICHE DE LIAISON                                   Date : ____/____/______</w:t>
        <w:br/>
        <w:br/>
        <w:t>DE : Agence [nom] — Conseiller [nom] — Tél. [ ] — Email [ ]</w:t>
        <w:br/>
        <w:t>À  : [Partenaire] — [Contact nominatif] — Tél. [ ]</w:t>
        <w:br/>
        <w:br/>
        <w:t>Personne orientée : [Prénom Nom] — Tél. [ ]      Accord de la personne : ☐ Oui (signé)</w:t>
        <w:br/>
        <w:br/>
        <w:t>Motif de l'orientation : ____________________________________________</w:t>
        <w:br/>
        <w:t>Ce qui a déjà été fait par l'agence : _______________________________</w:t>
        <w:br/>
        <w:t>Ce qui est attendu du partenaire : __________________________________</w:t>
        <w:br/>
        <w:t>Objectif emploi de la personne : ____________________________________</w:t>
        <w:br/>
        <w:br/>
        <w:t>---- Retour du partenaire (à renvoyer au conseiller) ----</w:t>
        <w:br/>
        <w:t>Date de prise en charge : ____/____/______</w:t>
        <w:br/>
        <w:t>Actions engagées : _________________________________________________</w:t>
        <w:br/>
        <w:t>La personne peut reprendre les démarches emploi : ☐ Oui ☐ Pas encore — à partir du ____/____</w:t>
        <w:br/>
        <w:t>Signature / cachet : _______________</w:t>
      </w:r>
    </w:p>
    <w:p/>
    <w:p>
      <w:pPr>
        <w:pStyle w:val="Heading2"/>
      </w:pPr>
      <w:r>
        <w:t>4. Tableau de suivi des orientations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1419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Bénéficiaire</w:t>
            </w:r>
          </w:p>
        </w:tc>
        <w:tc>
          <w:tcPr>
            <w:tcW w:type="dxa" w:w="1419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Partenaire</w:t>
            </w:r>
          </w:p>
        </w:tc>
        <w:tc>
          <w:tcPr>
            <w:tcW w:type="dxa" w:w="1419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Motif</w:t>
            </w:r>
          </w:p>
        </w:tc>
        <w:tc>
          <w:tcPr>
            <w:tcW w:type="dxa" w:w="1419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Prise en charge confirmée ?</w:t>
            </w:r>
          </w:p>
        </w:tc>
        <w:tc>
          <w:tcPr>
            <w:tcW w:type="dxa" w:w="1419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Retour reçu ?</w:t>
            </w:r>
          </w:p>
        </w:tc>
        <w:tc>
          <w:tcPr>
            <w:tcW w:type="dxa" w:w="1419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Frein levé ?</w:t>
            </w:r>
          </w:p>
        </w:tc>
      </w:tr>
      <w:tr>
        <w:tc>
          <w:tcPr>
            <w:tcW w:type="dxa" w:w="1419"/>
          </w:tcPr>
          <w:p/>
        </w:tc>
        <w:tc>
          <w:tcPr>
            <w:tcW w:type="dxa" w:w="1419"/>
          </w:tcPr>
          <w:p/>
        </w:tc>
        <w:tc>
          <w:tcPr>
            <w:tcW w:type="dxa" w:w="1419"/>
          </w:tcPr>
          <w:p/>
        </w:tc>
        <w:tc>
          <w:tcPr>
            <w:tcW w:type="dxa" w:w="1419"/>
          </w:tcPr>
          <w:p/>
        </w:tc>
        <w:tc>
          <w:tcPr>
            <w:tcW w:type="dxa" w:w="1419"/>
          </w:tcPr>
          <w:p>
            <w:r>
              <w:rPr>
                <w:sz w:val="19"/>
              </w:rPr>
              <w:t>☐</w:t>
            </w:r>
          </w:p>
        </w:tc>
        <w:tc>
          <w:tcPr>
            <w:tcW w:type="dxa" w:w="1419"/>
          </w:tcPr>
          <w:p>
            <w:r>
              <w:rPr>
                <w:sz w:val="19"/>
              </w:rPr>
              <w:t>☐</w:t>
            </w:r>
          </w:p>
        </w:tc>
        <w:tc>
          <w:tcPr>
            <w:tcW w:type="dxa" w:w="1419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419"/>
            <w:shd w:val="clear" w:color="auto" w:fill="EEF3F8"/>
          </w:tcPr>
          <w:p/>
        </w:tc>
        <w:tc>
          <w:tcPr>
            <w:tcW w:type="dxa" w:w="1419"/>
            <w:shd w:val="clear" w:color="auto" w:fill="EEF3F8"/>
          </w:tcPr>
          <w:p/>
        </w:tc>
        <w:tc>
          <w:tcPr>
            <w:tcW w:type="dxa" w:w="1419"/>
            <w:shd w:val="clear" w:color="auto" w:fill="EEF3F8"/>
          </w:tcPr>
          <w:p/>
        </w:tc>
        <w:tc>
          <w:tcPr>
            <w:tcW w:type="dxa" w:w="1419"/>
            <w:shd w:val="clear" w:color="auto" w:fill="EEF3F8"/>
          </w:tcPr>
          <w:p/>
        </w:tc>
        <w:tc>
          <w:tcPr>
            <w:tcW w:type="dxa" w:w="1419"/>
            <w:shd w:val="clear" w:color="auto" w:fill="EEF3F8"/>
          </w:tcPr>
          <w:p>
            <w:r>
              <w:rPr>
                <w:sz w:val="19"/>
              </w:rPr>
              <w:t>☐</w:t>
            </w:r>
          </w:p>
        </w:tc>
        <w:tc>
          <w:tcPr>
            <w:tcW w:type="dxa" w:w="1419"/>
            <w:shd w:val="clear" w:color="auto" w:fill="EEF3F8"/>
          </w:tcPr>
          <w:p>
            <w:r>
              <w:rPr>
                <w:sz w:val="19"/>
              </w:rPr>
              <w:t>☐</w:t>
            </w:r>
          </w:p>
        </w:tc>
        <w:tc>
          <w:tcPr>
            <w:tcW w:type="dxa" w:w="1419"/>
            <w:shd w:val="clear" w:color="auto" w:fill="EEF3F8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419"/>
          </w:tcPr>
          <w:p/>
        </w:tc>
        <w:tc>
          <w:tcPr>
            <w:tcW w:type="dxa" w:w="1419"/>
          </w:tcPr>
          <w:p/>
        </w:tc>
        <w:tc>
          <w:tcPr>
            <w:tcW w:type="dxa" w:w="1419"/>
          </w:tcPr>
          <w:p/>
        </w:tc>
        <w:tc>
          <w:tcPr>
            <w:tcW w:type="dxa" w:w="1419"/>
          </w:tcPr>
          <w:p/>
        </w:tc>
        <w:tc>
          <w:tcPr>
            <w:tcW w:type="dxa" w:w="1419"/>
          </w:tcPr>
          <w:p>
            <w:r>
              <w:rPr>
                <w:sz w:val="19"/>
              </w:rPr>
              <w:t>☐</w:t>
            </w:r>
          </w:p>
        </w:tc>
        <w:tc>
          <w:tcPr>
            <w:tcW w:type="dxa" w:w="1419"/>
          </w:tcPr>
          <w:p>
            <w:r>
              <w:rPr>
                <w:sz w:val="19"/>
              </w:rPr>
              <w:t>☐</w:t>
            </w:r>
          </w:p>
        </w:tc>
        <w:tc>
          <w:tcPr>
            <w:tcW w:type="dxa" w:w="1419"/>
          </w:tcPr>
          <w:p>
            <w:r>
              <w:rPr>
                <w:sz w:val="19"/>
              </w:rPr>
              <w:t>☐</w:t>
            </w:r>
          </w:p>
        </w:tc>
      </w:tr>
    </w:tbl>
    <w:p/>
    <w:p/>
    <w:p>
      <w:pPr>
        <w:pStyle w:val="Heading2"/>
      </w:pPr>
      <w:r>
        <w:t>5. Animer le réseau de partenaires (rôle de la direction)</w:t>
      </w:r>
    </w:p>
    <w:p>
      <w:pPr>
        <w:pStyle w:val="ListBullet"/>
      </w:pPr>
      <w:r>
        <w:rPr/>
        <w:t xml:space="preserve">Tenir l'annuaire à jour </w:t>
      </w:r>
      <w:r>
        <w:rPr>
          <w:b/>
        </w:rPr>
        <w:t>chaque semestre</w:t>
      </w:r>
      <w:r>
        <w:rPr/>
        <w:t xml:space="preserve"> (un référent partenaires par agence).</w:t>
      </w:r>
    </w:p>
    <w:p>
      <w:pPr>
        <w:pStyle w:val="ListBullet"/>
      </w:pPr>
      <w:r>
        <w:rPr/>
        <w:t xml:space="preserve">Réunion de coordination </w:t>
      </w:r>
      <w:r>
        <w:rPr>
          <w:b/>
        </w:rPr>
        <w:t>trimestrielle</w:t>
      </w:r>
      <w:r>
        <w:rPr/>
        <w:t xml:space="preserve"> avec les partenaires clés : cas complexes, délais, retours.</w:t>
      </w:r>
    </w:p>
    <w:p>
      <w:pPr>
        <w:pStyle w:val="ListBullet"/>
      </w:pPr>
      <w:r>
        <w:rPr/>
        <w:t>Conventions écrites avec les partenaires les plus sollicités (délais de prise en charge, échange d'information).</w:t>
      </w:r>
    </w:p>
    <w:p>
      <w:pPr>
        <w:pStyle w:val="ListBullet"/>
      </w:pPr>
      <w:r>
        <w:rPr/>
        <w:t xml:space="preserve">Indicateur : </w:t>
      </w:r>
      <w:r>
        <w:rPr>
          <w:b/>
        </w:rPr>
        <w:t>part des orientations avec retour</w:t>
      </w:r>
      <w:r>
        <w:rPr/>
        <w:t xml:space="preserve"> du partenaire (cible ≥ 70 %).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