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12" w:space="1" w:color="1F4E79"/>
        </w:pBdr>
      </w:pPr>
      <w:r>
        <w:rPr>
          <w:b/>
          <w:color w:val="1F4E79"/>
          <w:sz w:val="36"/>
        </w:rPr>
        <w:t>🗣️ GUIDE DES TECHNIQUES D'ENTRETIEN (CONSEILLER)</w:t>
      </w:r>
    </w:p>
    <w:p>
      <w:pPr>
        <w:ind w:left="288"/>
        <w:shd w:val="clear" w:color="auto" w:fill="FBF3D6"/>
      </w:pPr>
      <w:r>
        <w:rPr>
          <w:i/>
          <w:color w:val="555555"/>
        </w:rPr>
        <w:t>L'entretien est l'outil central de l'accompagnement. Maîtriser l'écoute, le questionnement et la</w:t>
      </w:r>
    </w:p>
    <w:p>
      <w:pPr>
        <w:ind w:left="288"/>
        <w:shd w:val="clear" w:color="auto" w:fill="FBF3D6"/>
      </w:pPr>
      <w:r>
        <w:rPr>
          <w:i/>
          <w:color w:val="555555"/>
        </w:rPr>
        <w:t>reformulation pour faire émerger le projet et la motivation.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1. Les types d'entretien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Objectif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Posture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Entretien de diagnostic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Évaluer la situation, l'employabilité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Explorer, questionner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Entretien d'accompagnement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Faire avancer le projet, le plan d'action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Guider, responsabiliser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Entretien motivationnel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Renforcer l'engagement au changement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Faire émerger les raisons de changer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Entretien de recrutement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Évaluer l'adéquation à un poste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Objectiver, comparer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Entretien de recadrage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Traiter un décrochage, une difficulté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Cadrer avec bienveillance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2. Les techniques fondamentales</w:t>
      </w:r>
    </w:p>
    <w:p>
      <w:pPr>
        <w:pStyle w:val="Heading3"/>
      </w:pPr>
      <w:r/>
      <w:r>
        <w:rPr>
          <w:color w:val="1F4E79"/>
          <w:sz w:val="24"/>
        </w:rPr>
        <w:t>Écoute active</w:t>
      </w:r>
    </w:p>
    <w:p>
      <w:pPr>
        <w:pStyle w:val="ListBullet"/>
      </w:pPr>
      <w:r>
        <w:t>Être pleinement présent, ne pas couper.</w:t>
      </w:r>
    </w:p>
    <w:p>
      <w:pPr>
        <w:pStyle w:val="ListBullet"/>
      </w:pPr>
      <w:r>
        <w:t>Accuser réception (« je comprends », hochements).</w:t>
      </w:r>
    </w:p>
    <w:p>
      <w:pPr>
        <w:pStyle w:val="ListBullet"/>
      </w:pPr>
      <w:r>
        <w:t>Repérer l'émotion derrière les mots.</w:t>
      </w:r>
    </w:p>
    <w:p>
      <w:pPr>
        <w:pStyle w:val="Heading3"/>
      </w:pPr>
      <w:r/>
      <w:r>
        <w:rPr>
          <w:color w:val="1F4E79"/>
          <w:sz w:val="24"/>
        </w:rPr>
        <w:t>Questionnement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Type de question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Usage</w:t>
            </w:r>
          </w:p>
        </w:tc>
        <w:tc>
          <w:tcPr>
            <w:tcW w:type="dxa" w:w="3312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Exemple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Ouverte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Explorer, faire parler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« Parlez-moi de votre parcours. »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Fermée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Vérifier un fait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« Avez-vous le permis ? »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 clarification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Préciser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« Qu'entendez-vous par… ? »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De relance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Approfondir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« C'est-à-dire ? Et ensuite ? »</w:t>
            </w:r>
          </w:p>
        </w:tc>
      </w:tr>
      <w:tr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Projective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Faire se projeter</w:t>
            </w:r>
          </w:p>
        </w:tc>
        <w:tc>
          <w:tcPr>
            <w:tcW w:type="dxa" w:w="3312"/>
          </w:tcPr>
          <w:p>
            <w:r>
              <w:rPr>
                <w:sz w:val="19"/>
              </w:rPr>
            </w:r>
            <w:r>
              <w:rPr>
                <w:sz w:val="19"/>
              </w:rPr>
              <w:t>« Où vous voyez-vous dans un an ? »</w:t>
            </w:r>
          </w:p>
        </w:tc>
      </w:tr>
    </w:tbl>
    <w:p/>
    <w:p>
      <w:pPr>
        <w:pStyle w:val="Heading3"/>
      </w:pPr>
      <w:r/>
      <w:r>
        <w:rPr>
          <w:color w:val="1F4E79"/>
          <w:sz w:val="24"/>
        </w:rPr>
        <w:t>Reformulation</w:t>
      </w:r>
    </w:p>
    <w:p>
      <w:pPr>
        <w:pStyle w:val="ListBullet"/>
      </w:pPr>
      <w:r>
        <w:rPr>
          <w:b/>
        </w:rPr>
        <w:t>Reflet</w:t>
      </w:r>
      <w:r>
        <w:t xml:space="preserve"> : « Si je comprends bien, vous… »</w:t>
      </w:r>
    </w:p>
    <w:p>
      <w:pPr>
        <w:pStyle w:val="ListBullet"/>
      </w:pPr>
      <w:r>
        <w:rPr>
          <w:b/>
        </w:rPr>
        <w:t>Synthèse</w:t>
      </w:r>
      <w:r>
        <w:t xml:space="preserve"> : résumer les points clés.</w:t>
      </w:r>
    </w:p>
    <w:p>
      <w:pPr>
        <w:pStyle w:val="ListBullet"/>
      </w:pPr>
      <w:r>
        <w:rPr>
          <w:b/>
        </w:rPr>
        <w:t>Recentrage</w:t>
      </w:r>
      <w:r>
        <w:t xml:space="preserve"> : ramener à l'objectif si digression.</w:t>
      </w:r>
    </w:p>
    <w:p>
      <w:pPr>
        <w:ind w:left="288"/>
        <w:shd w:val="clear" w:color="auto" w:fill="FBF3D6"/>
      </w:pPr>
      <w:r>
        <w:rPr>
          <w:i/>
          <w:color w:val="555555"/>
        </w:rPr>
        <w:t xml:space="preserve">La reformulation valide la compréhension </w:t>
      </w:r>
      <w:r>
        <w:rPr>
          <w:b/>
          <w:i/>
          <w:color w:val="555555"/>
        </w:rPr>
        <w:t>et</w:t>
      </w:r>
      <w:r>
        <w:rPr>
          <w:i/>
          <w:color w:val="555555"/>
        </w:rPr>
        <w:t xml:space="preserve"> fait avancer la personne.</w:t>
      </w:r>
    </w:p>
    <w:p>
      <w:pPr>
        <w:pStyle w:val="Heading3"/>
      </w:pPr>
      <w:r/>
      <w:r>
        <w:rPr>
          <w:color w:val="1F4E79"/>
          <w:sz w:val="24"/>
        </w:rPr>
        <w:t>Silence</w:t>
      </w:r>
    </w:p>
    <w:p>
      <w:pPr>
        <w:pStyle w:val="ListBullet"/>
      </w:pPr>
      <w:r>
        <w:t>Laisser le silence : il pousse la personne à approfondir.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3. L'entretien motivationnel (esprit)</w:t>
      </w:r>
    </w:p>
    <w:p>
      <w:pPr>
        <w:pStyle w:val="ListBullet"/>
      </w:pPr>
      <w:r>
        <w:rPr>
          <w:b/>
        </w:rPr>
        <w:t>Ne pas convaincre à la place</w:t>
      </w:r>
      <w:r>
        <w:t xml:space="preserve"> : faire exprimer par la personne ses propres raisons de changer.</w:t>
      </w:r>
    </w:p>
    <w:p>
      <w:pPr>
        <w:pStyle w:val="ListBullet"/>
      </w:pPr>
      <w:r>
        <w:rPr>
          <w:b/>
        </w:rPr>
        <w:t>Explorer l'ambivalence</w:t>
      </w:r>
      <w:r>
        <w:t xml:space="preserve"> : « Qu'est-ce qui vous freine ? Qu'est-ce qui vous motive ? »</w:t>
      </w:r>
    </w:p>
    <w:p>
      <w:pPr>
        <w:pStyle w:val="ListBullet"/>
      </w:pPr>
      <w:r>
        <w:rPr>
          <w:b/>
        </w:rPr>
        <w:t>Valoriser l'autonomie</w:t>
      </w:r>
      <w:r>
        <w:t xml:space="preserve"> : la personne décide.</w:t>
      </w:r>
    </w:p>
    <w:p>
      <w:pPr>
        <w:pStyle w:val="ListBullet"/>
      </w:pPr>
      <w:r>
        <w:rPr>
          <w:b/>
        </w:rPr>
        <w:t>Renforcer le discours-changement</w:t>
      </w:r>
      <w:r>
        <w:t xml:space="preserve"> : souligner chaque parole orientée vers l'action.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4. Gérer les objections / résistances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Objection</w:t>
            </w:r>
          </w:p>
        </w:tc>
        <w:tc>
          <w:tcPr>
            <w:tcW w:type="dxa" w:w="4968"/>
            <w:shd w:val="clear" w:color="auto" w:fill="1F4E79"/>
          </w:tcPr>
          <w:p>
            <w:r>
              <w:rPr>
                <w:color w:val="FFFFFF"/>
                <w:sz w:val="19"/>
              </w:rPr>
            </w:r>
            <w:r>
              <w:rPr>
                <w:b/>
                <w:color w:val="FFFFFF"/>
                <w:sz w:val="19"/>
              </w:rPr>
              <w:t>Réponse-type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Je n'y arriverai jamais »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Qu'est-ce qui vous fait dire cela ? Regardons ce que vous avez déjà réussi. »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Il n'y a pas de travail »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Voyons ensemble ce qui recrute réellement autour de nous. »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Je suis trop vieux/jeune »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Quelles entreprises valorisent justement votre profil ? »</w:t>
            </w:r>
          </w:p>
        </w:tc>
      </w:tr>
      <w:tr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Ça ne sert à rien »</w:t>
            </w:r>
          </w:p>
        </w:tc>
        <w:tc>
          <w:tcPr>
            <w:tcW w:type="dxa" w:w="4968"/>
          </w:tcPr>
          <w:p>
            <w:r>
              <w:rPr>
                <w:sz w:val="19"/>
              </w:rPr>
            </w:r>
            <w:r>
              <w:rPr>
                <w:sz w:val="19"/>
              </w:rPr>
              <w:t>« Qu'est-ce qui vous ferait dire que ça a servi ? »</w:t>
            </w:r>
          </w:p>
        </w:tc>
      </w:tr>
    </w:tbl>
    <w:p/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5. Trame d'entretien d'accompagnement (30–45 min)</w:t>
      </w:r>
    </w:p>
    <w:p>
      <w:pPr>
        <w:ind w:left="216"/>
        <w:shd w:val="clear" w:color="auto" w:fill="F2F2F2"/>
      </w:pPr>
      <w:r>
        <w:rPr>
          <w:rFonts w:ascii="Consolas" w:hAnsi="Consolas"/>
          <w:color w:val="333333"/>
          <w:sz w:val="18"/>
        </w:rPr>
        <w:t>1. ACCUEIL (5')      — mettre à l'aise, rappeler l'objectif du RDV</w:t>
        <w:br/>
      </w:r>
      <w:r>
        <w:rPr>
          <w:rFonts w:ascii="Consolas" w:hAnsi="Consolas"/>
          <w:color w:val="333333"/>
          <w:sz w:val="18"/>
        </w:rPr>
        <w:t>2. POINT (10')       — depuis la dernière fois : actions faites, résultats, obstacles</w:t>
        <w:br/>
      </w:r>
      <w:r>
        <w:rPr>
          <w:rFonts w:ascii="Consolas" w:hAnsi="Consolas"/>
          <w:color w:val="333333"/>
          <w:sz w:val="18"/>
        </w:rPr>
        <w:t>3. ANALYSE (10')     — comprendre ce qui bloque / avance</w:t>
        <w:br/>
      </w:r>
      <w:r>
        <w:rPr>
          <w:rFonts w:ascii="Consolas" w:hAnsi="Consolas"/>
          <w:color w:val="333333"/>
          <w:sz w:val="18"/>
        </w:rPr>
        <w:t>4. DÉCISIONS (10')   — définir les prochaines actions (SMART)</w:t>
        <w:br/>
      </w:r>
      <w:r>
        <w:rPr>
          <w:rFonts w:ascii="Consolas" w:hAnsi="Consolas"/>
          <w:color w:val="333333"/>
          <w:sz w:val="18"/>
        </w:rPr>
        <w:t>5. CLÔTURE (5')      — reformuler, fixer le prochain RDV et les engagements</w:t>
      </w:r>
    </w:p>
    <w:p>
      <w:pPr>
        <w:pBdr>
          <w:bottom w:val="single" w:sz="12" w:space="1" w:color="1F4E79"/>
        </w:pBdr>
      </w:pPr>
    </w:p>
    <w:p>
      <w:pPr>
        <w:pStyle w:val="Heading2"/>
      </w:pPr>
      <w:r/>
      <w:r>
        <w:rPr>
          <w:color w:val="1F4E79"/>
          <w:sz w:val="28"/>
        </w:rPr>
        <w:t>6. Posture éthique du conseiller</w:t>
      </w:r>
    </w:p>
    <w:p>
      <w:pPr>
        <w:pStyle w:val="ListBullet"/>
      </w:pPr>
      <w:r>
        <w:rPr>
          <w:b/>
        </w:rPr>
        <w:t>Confidentialité</w:t>
      </w:r>
      <w:r>
        <w:t xml:space="preserve"> et respect.</w:t>
      </w:r>
    </w:p>
    <w:p>
      <w:pPr>
        <w:pStyle w:val="ListBullet"/>
      </w:pPr>
      <w:r>
        <w:rPr>
          <w:b/>
        </w:rPr>
        <w:t>Non-jugement.</w:t>
      </w:r>
    </w:p>
    <w:p>
      <w:pPr>
        <w:pStyle w:val="ListBullet"/>
      </w:pPr>
      <w:r>
        <w:rPr>
          <w:b/>
        </w:rPr>
        <w:t>Neutralité bienveillante.</w:t>
      </w:r>
    </w:p>
    <w:p>
      <w:pPr>
        <w:pStyle w:val="ListBullet"/>
      </w:pPr>
      <w:r>
        <w:rPr>
          <w:b/>
        </w:rPr>
        <w:t>Développer l'autonomie</w:t>
      </w:r>
      <w:r>
        <w:t xml:space="preserve"> (ne pas rendre dépendant).</w:t>
      </w:r>
    </w:p>
    <w:p>
      <w:pPr>
        <w:pStyle w:val="ListBullet"/>
      </w:pPr>
      <w:r>
        <w:rPr>
          <w:b/>
        </w:rPr>
        <w:t>Réalisme + encouragement.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