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6"/>
        </w:rPr>
        <w:t>📊 TABLEAU DE BORD &amp; INDICATEURS DE PERFORMANCE</w:t>
      </w:r>
    </w:p>
    <w:p>
      <w:pPr>
        <w:ind w:left="288"/>
      </w:pPr>
      <w:r>
        <w:rPr>
          <w:i/>
          <w:color w:val="555555"/>
        </w:rPr>
        <w:t>Piloter par les données : mesurer l'efficacité de l'accompagnement et de l'agence.</w:t>
      </w:r>
    </w:p>
    <w:p/>
    <w:p>
      <w:pPr>
        <w:pStyle w:val="Heading2"/>
      </w:pPr>
      <w:r>
        <w:t>1. Indicateurs clés (KPI)</w:t>
      </w:r>
    </w:p>
    <w:p>
      <w:pPr>
        <w:pStyle w:val="Heading3"/>
      </w:pPr>
      <w:r>
        <w:t>A. Activité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Indicateur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Définition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Cible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Réalisé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  <w:t>Nombre de personnes accueillies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Flux entrant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Nombre d'entretiens réalisés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Volume d'accompagnement</w:t>
            </w:r>
          </w:p>
        </w:tc>
        <w:tc>
          <w:tcPr>
            <w:tcW w:type="dxa" w:w="2484"/>
            <w:shd w:val="clear" w:color="auto" w:fill="EEF3F8"/>
          </w:tcPr>
          <w:p/>
        </w:tc>
        <w:tc>
          <w:tcPr>
            <w:tcW w:type="dxa" w:w="2484"/>
            <w:shd w:val="clear" w:color="auto" w:fill="EEF3F8"/>
          </w:tcPr>
          <w:p/>
        </w:tc>
      </w:tr>
      <w:tr>
        <w:tc>
          <w:tcPr>
            <w:tcW w:type="dxa" w:w="2484"/>
          </w:tcPr>
          <w:p>
            <w:r>
              <w:rPr>
                <w:sz w:val="19"/>
              </w:rPr>
              <w:t>Nombre d'ateliers animés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Actions collectives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Offres collectées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Développement entreprises</w:t>
            </w:r>
          </w:p>
        </w:tc>
        <w:tc>
          <w:tcPr>
            <w:tcW w:type="dxa" w:w="2484"/>
            <w:shd w:val="clear" w:color="auto" w:fill="EEF3F8"/>
          </w:tcPr>
          <w:p/>
        </w:tc>
        <w:tc>
          <w:tcPr>
            <w:tcW w:type="dxa" w:w="2484"/>
            <w:shd w:val="clear" w:color="auto" w:fill="EEF3F8"/>
          </w:tcPr>
          <w:p/>
        </w:tc>
      </w:tr>
    </w:tbl>
    <w:p/>
    <w:p>
      <w:pPr>
        <w:pStyle w:val="Heading3"/>
      </w:pPr>
      <w:r>
        <w:t>B. Résultats (efficacité)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Indicateur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Définition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Cible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Réalisé</w:t>
            </w:r>
          </w:p>
        </w:tc>
      </w:tr>
      <w:tr>
        <w:tc>
          <w:tcPr>
            <w:tcW w:type="dxa" w:w="2484"/>
          </w:tcPr>
          <w:p>
            <w:r>
              <w:rPr>
                <w:b/>
                <w:sz w:val="19"/>
              </w:rPr>
              <w:t>Taux de placement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Placés / accompagnés × 100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  <w:shd w:val="clear" w:color="auto" w:fill="EEF3F8"/>
          </w:tcPr>
          <w:p>
            <w:r>
              <w:rPr>
                <w:b/>
                <w:sz w:val="19"/>
              </w:rPr>
              <w:t>Taux d'insertion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En emploi à N mois / total × 100</w:t>
            </w:r>
          </w:p>
        </w:tc>
        <w:tc>
          <w:tcPr>
            <w:tcW w:type="dxa" w:w="2484"/>
            <w:shd w:val="clear" w:color="auto" w:fill="EEF3F8"/>
          </w:tcPr>
          <w:p/>
        </w:tc>
        <w:tc>
          <w:tcPr>
            <w:tcW w:type="dxa" w:w="2484"/>
            <w:shd w:val="clear" w:color="auto" w:fill="EEF3F8"/>
          </w:tcPr>
          <w:p/>
        </w:tc>
      </w:tr>
      <w:tr>
        <w:tc>
          <w:tcPr>
            <w:tcW w:type="dxa" w:w="2484"/>
          </w:tcPr>
          <w:p>
            <w:r>
              <w:rPr>
                <w:b/>
                <w:sz w:val="19"/>
              </w:rPr>
              <w:t>Taux de maintien (durable)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Encore en poste à 6 mois × 100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  <w:shd w:val="clear" w:color="auto" w:fill="EEF3F8"/>
          </w:tcPr>
          <w:p>
            <w:r>
              <w:rPr>
                <w:b/>
                <w:sz w:val="19"/>
              </w:rPr>
              <w:t>Délai moyen de placement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Jours entre accueil et emploi</w:t>
            </w:r>
          </w:p>
        </w:tc>
        <w:tc>
          <w:tcPr>
            <w:tcW w:type="dxa" w:w="2484"/>
            <w:shd w:val="clear" w:color="auto" w:fill="EEF3F8"/>
          </w:tcPr>
          <w:p/>
        </w:tc>
        <w:tc>
          <w:tcPr>
            <w:tcW w:type="dxa" w:w="2484"/>
            <w:shd w:val="clear" w:color="auto" w:fill="EEF3F8"/>
          </w:tcPr>
          <w:p/>
        </w:tc>
      </w:tr>
      <w:tr>
        <w:tc>
          <w:tcPr>
            <w:tcW w:type="dxa" w:w="2484"/>
          </w:tcPr>
          <w:p>
            <w:r>
              <w:rPr>
                <w:b/>
                <w:sz w:val="19"/>
              </w:rPr>
              <w:t>Durée moyenne de chômage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Ancienneté moyenne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Taux d'accès à la formation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Formés / accompagnés × 100</w:t>
            </w:r>
          </w:p>
        </w:tc>
        <w:tc>
          <w:tcPr>
            <w:tcW w:type="dxa" w:w="2484"/>
            <w:shd w:val="clear" w:color="auto" w:fill="EEF3F8"/>
          </w:tcPr>
          <w:p/>
        </w:tc>
        <w:tc>
          <w:tcPr>
            <w:tcW w:type="dxa" w:w="2484"/>
            <w:shd w:val="clear" w:color="auto" w:fill="EEF3F8"/>
          </w:tcPr>
          <w:p/>
        </w:tc>
      </w:tr>
    </w:tbl>
    <w:p/>
    <w:p>
      <w:pPr>
        <w:pStyle w:val="Heading3"/>
      </w:pPr>
      <w:r>
        <w:t>C. Qualité / satisfaction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Indicateur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Définition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Cible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Réalisé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  <w:t>Satisfaction bénéficiaires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Enquête /10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Satisfaction entreprises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Enquête /10</w:t>
            </w:r>
          </w:p>
        </w:tc>
        <w:tc>
          <w:tcPr>
            <w:tcW w:type="dxa" w:w="2484"/>
            <w:shd w:val="clear" w:color="auto" w:fill="EEF3F8"/>
          </w:tcPr>
          <w:p/>
        </w:tc>
        <w:tc>
          <w:tcPr>
            <w:tcW w:type="dxa" w:w="2484"/>
            <w:shd w:val="clear" w:color="auto" w:fill="EEF3F8"/>
          </w:tcPr>
          <w:p/>
        </w:tc>
      </w:tr>
      <w:tr>
        <w:tc>
          <w:tcPr>
            <w:tcW w:type="dxa" w:w="2484"/>
          </w:tcPr>
          <w:p>
            <w:r>
              <w:rPr>
                <w:sz w:val="19"/>
              </w:rPr>
              <w:t>Taux de rupture précoce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Ruptures &lt; 3 mois × 100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Taux d'offres pourvues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Offres pourvues / collectées</w:t>
            </w:r>
          </w:p>
        </w:tc>
        <w:tc>
          <w:tcPr>
            <w:tcW w:type="dxa" w:w="2484"/>
            <w:shd w:val="clear" w:color="auto" w:fill="EEF3F8"/>
          </w:tcPr>
          <w:p/>
        </w:tc>
        <w:tc>
          <w:tcPr>
            <w:tcW w:type="dxa" w:w="2484"/>
            <w:shd w:val="clear" w:color="auto" w:fill="EEF3F8"/>
          </w:tcPr>
          <w:p/>
        </w:tc>
      </w:tr>
    </w:tbl>
    <w:p/>
    <w:p>
      <w:pPr>
        <w:pStyle w:val="Heading3"/>
      </w:pPr>
      <w:r>
        <w:t>D. Partenariat entreprises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Indicateur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Définition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Cible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Réalisé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  <w:t>Entreprises partenaires actives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Nombre sur la période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Nouvelles entreprises prospectées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Flux</w:t>
            </w:r>
          </w:p>
        </w:tc>
        <w:tc>
          <w:tcPr>
            <w:tcW w:type="dxa" w:w="2484"/>
            <w:shd w:val="clear" w:color="auto" w:fill="EEF3F8"/>
          </w:tcPr>
          <w:p/>
        </w:tc>
        <w:tc>
          <w:tcPr>
            <w:tcW w:type="dxa" w:w="2484"/>
            <w:shd w:val="clear" w:color="auto" w:fill="EEF3F8"/>
          </w:tcPr>
          <w:p/>
        </w:tc>
      </w:tr>
      <w:tr>
        <w:tc>
          <w:tcPr>
            <w:tcW w:type="dxa" w:w="2484"/>
          </w:tcPr>
          <w:p>
            <w:r>
              <w:rPr>
                <w:sz w:val="19"/>
              </w:rPr>
              <w:t>Taux de fidélisation entreprises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Récurrentes / total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</w:tbl>
    <w:p/>
    <w:p/>
    <w:p>
      <w:pPr>
        <w:pStyle w:val="Heading2"/>
      </w:pPr>
      <w:r>
        <w:t>2. Calculs de référence</w:t>
      </w:r>
    </w:p>
    <w:p>
      <w:r>
        <w:rPr>
          <w:rFonts w:ascii="Consolas" w:hAnsi="Consolas"/>
          <w:sz w:val="17"/>
        </w:rPr>
        <w:t>Taux de placement (%)   = (Nb placés / Nb accompagnés) × 100</w:t>
        <w:br/>
        <w:t>Taux d'insertion (%)    = (Nb en emploi à N mois / Nb suivis) × 100</w:t>
        <w:br/>
        <w:t>Taux de maintien (%)    = (Nb encore en poste à 6 mois / Nb placés) × 100</w:t>
        <w:br/>
        <w:t>Délai moyen (jours)     = Σ (date emploi − date accueil) / Nb placés</w:t>
        <w:br/>
        <w:t>Taux de rupture (%)     = (Nb ruptures &lt; 3 mois / Nb placés) × 100</w:t>
      </w:r>
    </w:p>
    <w:p/>
    <w:p>
      <w:pPr>
        <w:pStyle w:val="Heading2"/>
      </w:pPr>
      <w:r>
        <w:t>3. Mesurer juste : la méthode des cohortes</w:t>
      </w:r>
    </w:p>
    <w:p>
      <w:pPr>
        <w:ind w:left="288"/>
      </w:pPr>
      <w:r>
        <w:rPr>
          <w:i/>
          <w:color w:val="555555"/>
        </w:rPr>
        <w:t xml:space="preserve">⚠️ Diviser les </w:t>
      </w:r>
      <w:r>
        <w:rPr>
          <w:b/>
          <w:i/>
          <w:color w:val="555555"/>
        </w:rPr>
        <w:t>placés du mois</w:t>
      </w:r>
      <w:r>
        <w:rPr>
          <w:i/>
          <w:color w:val="555555"/>
        </w:rPr>
        <w:t xml:space="preserve"> par les </w:t>
      </w:r>
      <w:r>
        <w:rPr>
          <w:b/>
          <w:i/>
          <w:color w:val="555555"/>
        </w:rPr>
        <w:t>accueillis du même mois</w:t>
      </w:r>
      <w:r>
        <w:rPr>
          <w:i/>
          <w:color w:val="555555"/>
        </w:rPr>
        <w:t xml:space="preserve"> mélange des personnes</w:t>
      </w:r>
    </w:p>
    <w:p>
      <w:pPr>
        <w:ind w:left="288"/>
      </w:pPr>
      <w:r>
        <w:rPr>
          <w:i/>
          <w:color w:val="555555"/>
        </w:rPr>
        <w:t>différentes (les placés de mars sont souvent entrés en décembre). Ce ratio suit l'</w:t>
      </w:r>
      <w:r>
        <w:rPr>
          <w:b/>
          <w:i/>
          <w:color w:val="555555"/>
        </w:rPr>
        <w:t>activité</w:t>
      </w:r>
      <w:r>
        <w:rPr>
          <w:i/>
          <w:color w:val="555555"/>
        </w:rPr>
        <w:t>, pas</w:t>
      </w:r>
    </w:p>
    <w:p>
      <w:pPr>
        <w:ind w:left="288"/>
      </w:pPr>
      <w:r>
        <w:rPr>
          <w:i/>
          <w:color w:val="555555"/>
        </w:rPr>
        <w:t>l'</w:t>
      </w:r>
      <w:r>
        <w:rPr>
          <w:b/>
          <w:i/>
          <w:color w:val="555555"/>
        </w:rPr>
        <w:t>efficacité</w:t>
      </w:r>
      <w:r>
        <w:rPr>
          <w:i/>
          <w:color w:val="555555"/>
        </w:rPr>
        <w:t>.</w:t>
      </w:r>
    </w:p>
    <w:p>
      <w:r>
        <w:rPr>
          <w:b/>
        </w:rPr>
        <w:t>Méthode fiable :</w:t>
      </w:r>
      <w:r>
        <w:rPr/>
        <w:t xml:space="preserve"> suivre une </w:t>
      </w:r>
      <w:r>
        <w:rPr>
          <w:b/>
        </w:rPr>
        <w:t>cohorte</w:t>
      </w:r>
      <w:r>
        <w:rPr/>
        <w:t xml:space="preserve"> = toutes les personnes entrées le même mois, et mesurer</w:t>
      </w:r>
      <w:r>
        <w:br/>
      </w:r>
      <w:r>
        <w:rPr/>
        <w:t>ce qu'elles deviennent à 3, 6 et 12 mois.</w:t>
      </w:r>
    </w:p>
    <w:p>
      <w:r>
        <w:rPr>
          <w:rFonts w:ascii="Consolas" w:hAnsi="Consolas"/>
          <w:sz w:val="17"/>
        </w:rPr>
        <w:t>Taux de placement à 6 mois (cohorte de janvier) =</w:t>
        <w:br/>
        <w:t xml:space="preserve">   Nb d'entrés en janvier ayant trouvé un emploi en 6 mois ou moins / Nb d'entrés en janvier</w:t>
        <w:br/>
        <w:t>Taux de maintien (cohorte de janvier) =</w:t>
        <w:br/>
        <w:t xml:space="preserve">   Nb d'entrés en janvier encore en emploi 6 mois après l'embauche / Nb d'entrés en janvier placés</w:t>
      </w:r>
    </w:p>
    <w:p>
      <w:r>
        <w:rPr/>
        <w:t xml:space="preserve">Dans le classeur Excel : saisir chaque bénéficiaire dans l'onglet </w:t>
      </w:r>
      <w:r>
        <w:rPr>
          <w:b/>
        </w:rPr>
        <w:t>Portefeuille</w:t>
      </w:r>
      <w:r>
        <w:rPr/>
        <w:t xml:space="preserve"> ; les onglets</w:t>
      </w:r>
      <w:r>
        <w:br/>
      </w:r>
      <w:r>
        <w:rPr>
          <w:b/>
        </w:rPr>
        <w:t>Cohortes</w:t>
      </w:r>
      <w:r>
        <w:rPr/>
        <w:t xml:space="preserve"> et </w:t>
      </w:r>
      <w:r>
        <w:rPr>
          <w:b/>
        </w:rPr>
        <w:t>Équité</w:t>
      </w:r>
      <w:r>
        <w:rPr/>
        <w:t xml:space="preserve"> se calculent seuls.</w:t>
      </w:r>
    </w:p>
    <w:p/>
    <w:p>
      <w:pPr>
        <w:pStyle w:val="Heading2"/>
      </w:pPr>
      <w:r>
        <w:t>4. Indicateurs d'équité (éviter l'écrémage)</w:t>
      </w:r>
    </w:p>
    <w:p>
      <w:r>
        <w:rPr/>
        <w:t>Un objectif de placement global peut pousser, sans le vouloir, à accompagner d'abord les profils les</w:t>
      </w:r>
      <w:r>
        <w:br/>
      </w:r>
      <w:r>
        <w:rPr/>
        <w:t xml:space="preserve">plus faciles. Suivre les résultats </w:t>
      </w:r>
      <w:r>
        <w:rPr>
          <w:b/>
        </w:rPr>
        <w:t>par segment</w:t>
      </w:r>
      <w:r>
        <w:rPr/>
        <w:t xml:space="preserve">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Segment</w:t>
            </w:r>
          </w:p>
        </w:tc>
        <w:tc>
          <w:tcPr>
            <w:tcW w:type="dxa" w:w="4968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Question à se poser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Genre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Les femmes accèdent-elles autant au placement que les hommes ?</w:t>
            </w:r>
          </w:p>
        </w:tc>
      </w:tr>
      <w:tr>
        <w:tc>
          <w:tcPr>
            <w:tcW w:type="dxa" w:w="4968"/>
            <w:shd w:val="clear" w:color="auto" w:fill="EEF3F8"/>
          </w:tcPr>
          <w:p>
            <w:r>
              <w:rPr>
                <w:sz w:val="19"/>
              </w:rPr>
              <w:t>Public (NEET, longue durée, handicap, rural…)</w:t>
            </w:r>
          </w:p>
        </w:tc>
        <w:tc>
          <w:tcPr>
            <w:tcW w:type="dxa" w:w="4968"/>
            <w:shd w:val="clear" w:color="auto" w:fill="EEF3F8"/>
          </w:tcPr>
          <w:p>
            <w:r>
              <w:rPr>
                <w:sz w:val="19"/>
              </w:rPr>
              <w:t>Les publics prioritaires ont-ils des résultats proches de la moyenne ?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Zone (urbaine / rurale)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Les personnes éloignées sont-elles suivies au même rythme ?</w:t>
            </w:r>
          </w:p>
        </w:tc>
      </w:tr>
      <w:tr>
        <w:tc>
          <w:tcPr>
            <w:tcW w:type="dxa" w:w="4968"/>
            <w:shd w:val="clear" w:color="auto" w:fill="EEF3F8"/>
          </w:tcPr>
          <w:p>
            <w:r>
              <w:rPr>
                <w:sz w:val="19"/>
              </w:rPr>
              <w:t>Mode d'accompagnement</w:t>
            </w:r>
          </w:p>
        </w:tc>
        <w:tc>
          <w:tcPr>
            <w:tcW w:type="dxa" w:w="4968"/>
            <w:shd w:val="clear" w:color="auto" w:fill="EEF3F8"/>
          </w:tcPr>
          <w:p>
            <w:r>
              <w:rPr>
                <w:sz w:val="19"/>
              </w:rPr>
              <w:t>Le mode renforcé produit-il des progrès (score /24, placement) ?</w:t>
            </w:r>
          </w:p>
        </w:tc>
      </w:tr>
    </w:tbl>
    <w:p/>
    <w:p>
      <w:r>
        <w:rPr>
          <w:b/>
        </w:rPr>
        <w:t>Règle de lecture :</w:t>
      </w:r>
      <w:r>
        <w:rPr/>
        <w:t xml:space="preserve"> un écart de </w:t>
      </w:r>
      <w:r>
        <w:rPr>
          <w:b/>
        </w:rPr>
        <w:t>plus de 10 points</w:t>
      </w:r>
      <w:r>
        <w:rPr/>
        <w:t xml:space="preserve"> sous la moyenne (en rouge dans l'onglet</w:t>
      </w:r>
      <w:r>
        <w:br/>
      </w:r>
      <w:r>
        <w:rPr/>
        <w:t>Équité) appelle une action ciblée : prospection dédiée, atelier spécifique, partenaire, formation.</w:t>
      </w:r>
    </w:p>
    <w:p>
      <w:r>
        <w:rPr>
          <w:b/>
        </w:rPr>
        <w:t>Indicateurs de fonctionnement à ajouter :</w:t>
      </w:r>
      <w:r>
        <w:rPr/>
        <w:t xml:space="preserve"> délai entre inscription et premier entretien · part des</w:t>
      </w:r>
      <w:r>
        <w:br/>
      </w:r>
      <w:r>
        <w:rPr/>
        <w:t>dossiers avec PAI signé · part des orientations partenaires avec retour · part des sorties pour</w:t>
      </w:r>
      <w:r>
        <w:br/>
      </w:r>
      <w:r>
        <w:rPr/>
        <w:t>abandon (S7) · taille des portefeuilles par conseiller et par mode.</w:t>
      </w:r>
    </w:p>
    <w:p/>
    <w:p>
      <w:pPr>
        <w:pStyle w:val="Heading2"/>
      </w:pPr>
      <w:r>
        <w:t>5. Tableau de bord mensuel (modèle synthétique)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Mois</w:t>
            </w:r>
          </w:p>
        </w:tc>
        <w:tc>
          <w:tcPr>
            <w:tcW w:type="dxa" w:w="1419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Accueillis</w:t>
            </w:r>
          </w:p>
        </w:tc>
        <w:tc>
          <w:tcPr>
            <w:tcW w:type="dxa" w:w="1419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Placés</w:t>
            </w:r>
          </w:p>
        </w:tc>
        <w:tc>
          <w:tcPr>
            <w:tcW w:type="dxa" w:w="1419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Taux placement</w:t>
            </w:r>
          </w:p>
        </w:tc>
        <w:tc>
          <w:tcPr>
            <w:tcW w:type="dxa" w:w="1419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Délai moyen</w:t>
            </w:r>
          </w:p>
        </w:tc>
        <w:tc>
          <w:tcPr>
            <w:tcW w:type="dxa" w:w="1419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Satisfaction</w:t>
            </w:r>
          </w:p>
        </w:tc>
        <w:tc>
          <w:tcPr>
            <w:tcW w:type="dxa" w:w="1419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Offres collectées</w:t>
            </w:r>
          </w:p>
        </w:tc>
      </w:tr>
      <w:tr>
        <w:tc>
          <w:tcPr>
            <w:tcW w:type="dxa" w:w="1419"/>
          </w:tcPr>
          <w:p>
            <w:r>
              <w:rPr>
                <w:sz w:val="19"/>
              </w:rPr>
              <w:t>Jan</w:t>
            </w:r>
          </w:p>
        </w:tc>
        <w:tc>
          <w:tcPr>
            <w:tcW w:type="dxa" w:w="1419"/>
          </w:tcPr>
          <w:p/>
        </w:tc>
        <w:tc>
          <w:tcPr>
            <w:tcW w:type="dxa" w:w="1419"/>
          </w:tcPr>
          <w:p/>
        </w:tc>
        <w:tc>
          <w:tcPr>
            <w:tcW w:type="dxa" w:w="1419"/>
          </w:tcPr>
          <w:p/>
        </w:tc>
        <w:tc>
          <w:tcPr>
            <w:tcW w:type="dxa" w:w="1419"/>
          </w:tcPr>
          <w:p/>
        </w:tc>
        <w:tc>
          <w:tcPr>
            <w:tcW w:type="dxa" w:w="1419"/>
          </w:tcPr>
          <w:p/>
        </w:tc>
        <w:tc>
          <w:tcPr>
            <w:tcW w:type="dxa" w:w="1419"/>
          </w:tcPr>
          <w:p/>
        </w:tc>
      </w:tr>
      <w:tr>
        <w:tc>
          <w:tcPr>
            <w:tcW w:type="dxa" w:w="1419"/>
            <w:shd w:val="clear" w:color="auto" w:fill="EEF3F8"/>
          </w:tcPr>
          <w:p>
            <w:r>
              <w:rPr>
                <w:sz w:val="19"/>
              </w:rPr>
              <w:t>Fév</w:t>
            </w:r>
          </w:p>
        </w:tc>
        <w:tc>
          <w:tcPr>
            <w:tcW w:type="dxa" w:w="1419"/>
            <w:shd w:val="clear" w:color="auto" w:fill="EEF3F8"/>
          </w:tcPr>
          <w:p/>
        </w:tc>
        <w:tc>
          <w:tcPr>
            <w:tcW w:type="dxa" w:w="1419"/>
            <w:shd w:val="clear" w:color="auto" w:fill="EEF3F8"/>
          </w:tcPr>
          <w:p/>
        </w:tc>
        <w:tc>
          <w:tcPr>
            <w:tcW w:type="dxa" w:w="1419"/>
            <w:shd w:val="clear" w:color="auto" w:fill="EEF3F8"/>
          </w:tcPr>
          <w:p/>
        </w:tc>
        <w:tc>
          <w:tcPr>
            <w:tcW w:type="dxa" w:w="1419"/>
            <w:shd w:val="clear" w:color="auto" w:fill="EEF3F8"/>
          </w:tcPr>
          <w:p/>
        </w:tc>
        <w:tc>
          <w:tcPr>
            <w:tcW w:type="dxa" w:w="1419"/>
            <w:shd w:val="clear" w:color="auto" w:fill="EEF3F8"/>
          </w:tcPr>
          <w:p/>
        </w:tc>
        <w:tc>
          <w:tcPr>
            <w:tcW w:type="dxa" w:w="1419"/>
            <w:shd w:val="clear" w:color="auto" w:fill="EEF3F8"/>
          </w:tcPr>
          <w:p/>
        </w:tc>
      </w:tr>
      <w:tr>
        <w:tc>
          <w:tcPr>
            <w:tcW w:type="dxa" w:w="1419"/>
          </w:tcPr>
          <w:p>
            <w:r>
              <w:rPr>
                <w:sz w:val="19"/>
              </w:rPr>
              <w:t>Mar</w:t>
            </w:r>
          </w:p>
        </w:tc>
        <w:tc>
          <w:tcPr>
            <w:tcW w:type="dxa" w:w="1419"/>
          </w:tcPr>
          <w:p/>
        </w:tc>
        <w:tc>
          <w:tcPr>
            <w:tcW w:type="dxa" w:w="1419"/>
          </w:tcPr>
          <w:p/>
        </w:tc>
        <w:tc>
          <w:tcPr>
            <w:tcW w:type="dxa" w:w="1419"/>
          </w:tcPr>
          <w:p/>
        </w:tc>
        <w:tc>
          <w:tcPr>
            <w:tcW w:type="dxa" w:w="1419"/>
          </w:tcPr>
          <w:p/>
        </w:tc>
        <w:tc>
          <w:tcPr>
            <w:tcW w:type="dxa" w:w="1419"/>
          </w:tcPr>
          <w:p/>
        </w:tc>
        <w:tc>
          <w:tcPr>
            <w:tcW w:type="dxa" w:w="1419"/>
          </w:tcPr>
          <w:p/>
        </w:tc>
      </w:tr>
      <w:tr>
        <w:tc>
          <w:tcPr>
            <w:tcW w:type="dxa" w:w="1419"/>
            <w:shd w:val="clear" w:color="auto" w:fill="EEF3F8"/>
          </w:tcPr>
          <w:p>
            <w:r>
              <w:rPr>
                <w:sz w:val="19"/>
              </w:rPr>
              <w:t>…</w:t>
            </w:r>
          </w:p>
        </w:tc>
        <w:tc>
          <w:tcPr>
            <w:tcW w:type="dxa" w:w="1419"/>
            <w:shd w:val="clear" w:color="auto" w:fill="EEF3F8"/>
          </w:tcPr>
          <w:p/>
        </w:tc>
        <w:tc>
          <w:tcPr>
            <w:tcW w:type="dxa" w:w="1419"/>
            <w:shd w:val="clear" w:color="auto" w:fill="EEF3F8"/>
          </w:tcPr>
          <w:p/>
        </w:tc>
        <w:tc>
          <w:tcPr>
            <w:tcW w:type="dxa" w:w="1419"/>
            <w:shd w:val="clear" w:color="auto" w:fill="EEF3F8"/>
          </w:tcPr>
          <w:p/>
        </w:tc>
        <w:tc>
          <w:tcPr>
            <w:tcW w:type="dxa" w:w="1419"/>
            <w:shd w:val="clear" w:color="auto" w:fill="EEF3F8"/>
          </w:tcPr>
          <w:p/>
        </w:tc>
        <w:tc>
          <w:tcPr>
            <w:tcW w:type="dxa" w:w="1419"/>
            <w:shd w:val="clear" w:color="auto" w:fill="EEF3F8"/>
          </w:tcPr>
          <w:p/>
        </w:tc>
        <w:tc>
          <w:tcPr>
            <w:tcW w:type="dxa" w:w="1419"/>
            <w:shd w:val="clear" w:color="auto" w:fill="EEF3F8"/>
          </w:tcPr>
          <w:p/>
        </w:tc>
      </w:tr>
    </w:tbl>
    <w:p/>
    <w:p/>
    <w:p>
      <w:pPr>
        <w:pStyle w:val="Heading2"/>
      </w:pPr>
      <w:r>
        <w:t>6. Analyse territoriale (statistiques à suivre)</w:t>
      </w:r>
    </w:p>
    <w:p>
      <w:pPr>
        <w:pStyle w:val="ListBullet"/>
      </w:pPr>
      <w:r>
        <w:rPr/>
        <w:t>Métiers les plus demandés / les plus offerts.</w:t>
      </w:r>
    </w:p>
    <w:p>
      <w:pPr>
        <w:pStyle w:val="ListBullet"/>
      </w:pPr>
      <w:r>
        <w:rPr/>
        <w:t>Écarts offre / demande par secteur.</w:t>
      </w:r>
    </w:p>
    <w:p>
      <w:pPr>
        <w:pStyle w:val="ListBullet"/>
      </w:pPr>
      <w:r>
        <w:rPr/>
        <w:t>Profils les plus / moins insérés (par public, par niveau).</w:t>
      </w:r>
    </w:p>
    <w:p>
      <w:pPr>
        <w:pStyle w:val="ListBullet"/>
      </w:pPr>
      <w:r>
        <w:rPr/>
        <w:t>Zones géographiques en tension.</w:t>
      </w:r>
    </w:p>
    <w:p/>
    <w:p>
      <w:pPr>
        <w:pStyle w:val="Heading2"/>
      </w:pPr>
      <w:r>
        <w:t>7. Du chiffre à l'action (lecture managériale)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Constat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Question à se poser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Action possible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Taux de placement en baisse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Où bloque le parcours ?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Renforcer outillage / offres</w:t>
            </w:r>
          </w:p>
        </w:tc>
      </w:tr>
      <w:tr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Délai de placement long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Diagnostic ou marché ?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Cibler formations en tension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Ruptures précoces élevées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Qualité de la mise en relation ?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Renforcer analyse de poste + suivi</w:t>
            </w:r>
          </w:p>
        </w:tc>
      </w:tr>
      <w:tr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Peu d'offres collectées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Prospection insuffisante ?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Plan d'action entreprises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Faible satisfaction entreprises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Qualité des profils ?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Améliorer présélection</w:t>
            </w:r>
          </w:p>
        </w:tc>
      </w:tr>
      <w:tr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Écart d'équité &gt; 10 pts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Un public est-il laissé de côté ?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Action ciblée (prospection, atelier, partenaire)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Abandons (S7) élevés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Rythme ou offre de service inadaptés ?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Relances, mode d'accompagnement revu</w:t>
            </w:r>
          </w:p>
        </w:tc>
      </w:tr>
    </w:tbl>
    <w:p/>
    <w:p>
      <w:pPr>
        <w:ind w:left="288"/>
      </w:pPr>
      <w:r>
        <w:rPr>
          <w:i/>
          <w:color w:val="555555"/>
        </w:rPr>
        <w:t xml:space="preserve">💡 Un bon pilotage relie </w:t>
      </w:r>
      <w:r>
        <w:rPr>
          <w:b/>
          <w:i/>
          <w:color w:val="555555"/>
        </w:rPr>
        <w:t>chaque indicateur à une décision</w:t>
      </w:r>
      <w:r>
        <w:rPr>
          <w:i/>
          <w:color w:val="555555"/>
        </w:rPr>
        <w:t>. Les données ne servent que si</w:t>
      </w:r>
    </w:p>
    <w:p>
      <w:pPr>
        <w:ind w:left="288"/>
      </w:pPr>
      <w:r>
        <w:rPr>
          <w:i/>
          <w:color w:val="555555"/>
        </w:rPr>
        <w:t>elles déclenchent une action correctrice.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