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⚖️ CE QUI MARCHE : PREUVES, AVIS D'EXPERTS &amp; PRATIQUES UNIVERSELLES</w:t>
      </w:r>
    </w:p>
    <w:p>
      <w:pPr>
        <w:ind w:left="288"/>
      </w:pPr>
      <w:r>
        <w:rPr>
          <w:i/>
          <w:color w:val="555555"/>
        </w:rPr>
        <w:t xml:space="preserve">Un expert en employabilité doit savoir </w:t>
      </w:r>
      <w:r>
        <w:rPr>
          <w:b/>
          <w:i/>
          <w:color w:val="555555"/>
        </w:rPr>
        <w:t>sur quoi repose chaque outil</w:t>
      </w:r>
      <w:r>
        <w:rPr>
          <w:i/>
          <w:color w:val="555555"/>
        </w:rPr>
        <w:t xml:space="preserve"> : des résultats de recherche solides,</w:t>
      </w:r>
    </w:p>
    <w:p>
      <w:pPr>
        <w:ind w:left="288"/>
      </w:pPr>
      <w:r>
        <w:rPr>
          <w:i/>
          <w:color w:val="555555"/>
        </w:rPr>
        <w:t>un consensus d'experts, ou l'expérience de terrain. Cette fiche classe les outils de la valise par</w:t>
      </w:r>
    </w:p>
    <w:p>
      <w:pPr>
        <w:ind w:left="288"/>
      </w:pPr>
      <w:r>
        <w:rPr>
          <w:b/>
          <w:i/>
          <w:color w:val="555555"/>
        </w:rPr>
        <w:t>niveau de preuve</w:t>
      </w:r>
      <w:r>
        <w:rPr>
          <w:i/>
          <w:color w:val="555555"/>
        </w:rPr>
        <w:t xml:space="preserve">, résume les </w:t>
      </w:r>
      <w:r>
        <w:rPr>
          <w:b/>
          <w:i/>
          <w:color w:val="555555"/>
        </w:rPr>
        <w:t>positions des grands experts</w:t>
      </w:r>
      <w:r>
        <w:rPr>
          <w:i/>
          <w:color w:val="555555"/>
        </w:rPr>
        <w:t xml:space="preserve"> et liste les **pratiques reconnues</w:t>
      </w:r>
    </w:p>
    <w:p>
      <w:pPr>
        <w:ind w:left="288"/>
      </w:pPr>
      <w:r>
        <w:rPr>
          <w:i/>
          <w:color w:val="555555"/>
        </w:rPr>
        <w:t>partout dans le monde**.</w:t>
      </w:r>
    </w:p>
    <w:p/>
    <w:p>
      <w:pPr>
        <w:pStyle w:val="Heading2"/>
      </w:pPr>
      <w:r>
        <w:t>1. Les trois niveaux de preuve utilisés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Niveau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Signification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Exemples de sources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 xml:space="preserve">🟢 </w:t>
            </w:r>
            <w:r>
              <w:rPr>
                <w:b/>
                <w:sz w:val="19"/>
              </w:rPr>
              <w:t>A — Preuve forte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Méta-analyses ou essais contrôlés randomisés convergents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Liu et al. (2014) ; Card, Kluve &amp; Weber (2018) ; Schmidt &amp; Hunter (1998)</w:t>
            </w:r>
          </w:p>
        </w:tc>
      </w:tr>
      <w:tr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 xml:space="preserve">🟡 </w:t>
            </w:r>
            <w:r>
              <w:rPr>
                <w:b/>
                <w:sz w:val="19"/>
              </w:rPr>
              <w:t>B — Preuve modérée / consensus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Théories validées par de nombreuses études, consensus professionnel international</w:t>
            </w:r>
          </w:p>
        </w:tc>
        <w:tc>
          <w:tcPr>
            <w:tcW w:type="dxa" w:w="3312"/>
            <w:shd w:val="clear" w:color="auto" w:fill="EEF3F8"/>
          </w:tcPr>
          <w:p>
            <w:r>
              <w:rPr>
                <w:sz w:val="19"/>
              </w:rPr>
              <w:t>Holland, Bandura, Rogers, normes OIT, ISO 10667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  <w:t xml:space="preserve">⚪ </w:t>
            </w:r>
            <w:r>
              <w:rPr>
                <w:b/>
                <w:sz w:val="19"/>
              </w:rPr>
              <w:t>C — Pratique professionnelle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Méthodes éprouvées sur le terrain, cohérentes avec la théorie, mais peu évaluées scientifiquement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Grilles maison, fiches d'atelier, modèles de CV</w:t>
            </w:r>
          </w:p>
        </w:tc>
      </w:tr>
    </w:tbl>
    <w:p/>
    <w:p>
      <w:pPr>
        <w:ind w:left="288"/>
      </w:pPr>
      <w:r>
        <w:rPr>
          <w:i/>
          <w:color w:val="555555"/>
        </w:rPr>
        <w:t xml:space="preserve">💡 Un outil de niveau C n'est pas « mauvais » : il est </w:t>
      </w:r>
      <w:r>
        <w:rPr>
          <w:b/>
          <w:i/>
          <w:color w:val="555555"/>
        </w:rPr>
        <w:t>utile pour structurer la pratique</w:t>
      </w:r>
      <w:r>
        <w:rPr>
          <w:i/>
          <w:color w:val="555555"/>
        </w:rPr>
        <w:t>,</w:t>
      </w:r>
    </w:p>
    <w:p>
      <w:pPr>
        <w:ind w:left="288"/>
      </w:pPr>
      <w:r>
        <w:rPr>
          <w:i/>
          <w:color w:val="555555"/>
        </w:rPr>
        <w:t>mais ses résultats doivent être interprétés avec prudence et jamais servir seuls à exclure une personne.</w:t>
      </w:r>
    </w:p>
    <w:p/>
    <w:p>
      <w:pPr>
        <w:pStyle w:val="Heading2"/>
      </w:pPr>
      <w:r>
        <w:t>2. Niveau de preuve des outils de la valise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Outil de la valise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Niveau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Justification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 xml:space="preserve">Combiner techniques de recherche </w:t>
            </w:r>
            <w:r>
              <w:rPr>
                <w:b/>
                <w:sz w:val="19"/>
              </w:rPr>
              <w:t>et</w:t>
            </w:r>
            <w:r>
              <w:rPr>
                <w:sz w:val="19"/>
              </w:rPr>
              <w:t xml:space="preserve"> soutien motivationnel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05 + 06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🟢 A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Méta-analyse de Liu et al. (2014) : les programmes qui combinent les deux sont les plus efficaces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Ateliers collectifs actifs (type JOBS)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13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🟢 A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Essais randomisés (Caplan et al., 1989) : retour à l'emploi plus rapide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Préparer aux entretiens comportementaux (STAR)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05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🟡 B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Les entretiens structurés sont les plus prédictifs (Schmidt &amp; Hunter, 1998), d'où leur diffusion chez les recruteurs ; l'effet de la préparation STAR elle-même est peu évalué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Entretien motivationnel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09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🟡 B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Preuve forte en santé (nombreux essais contrôlés) ; transposition à l'emploi prometteuse mais encore peu évaluée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Suivi dans l'emploi (emploi accompagné)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🟢 A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Essais contrôlés sur l'emploi accompagné (Bond et al., 2008)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Réseautage et marché caché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05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🟡 B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Granovetter (1973, 1974) et nombreuses études ; la part exacte du « marché caché » varie selon les pays et les secteurs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Travail sur la confiance / efficacité personnelle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06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🟡 B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Bandura ; Kanfer et al. (2001) : lien fort entre efficacité personnelle et intensité de recherche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Objectifs SMART et plans d'action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03, 06, 15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🟡 B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Théorie de la fixation d'objectifs (Locke &amp; Latham, 2002) ; l'acronyme SMART lui-même est une convention de gestion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Test d'intérêts RIASEC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03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🟡 B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 xml:space="preserve">Modèle très validé ; utiliser un questionnaire </w:t>
            </w:r>
            <w:r>
              <w:rPr>
                <w:b/>
                <w:sz w:val="19"/>
              </w:rPr>
              <w:t>publié et étalonné</w:t>
            </w:r>
            <w:r>
              <w:rPr>
                <w:sz w:val="19"/>
              </w:rPr>
              <w:t xml:space="preserve"> plutôt qu'une version improvisée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Coaching (GROW)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06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🟡 B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Méta-analyse favorable au coaching (Theeboom et al., 2014) ; GROW est une structure de séance, pas une théorie testée en soi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Formation qualifiante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08, 11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🟡 B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Effets plus lents mais plus durables que l'aide à la recherche seule (Card et al., 2018)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Grille de diagnostic /24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01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⚪ C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 xml:space="preserve">Construite à partir de modèles reconnus (Hillage &amp; Pollard, McQuaid &amp; Lindsay), mais </w:t>
            </w:r>
            <w:r>
              <w:rPr>
                <w:b/>
                <w:sz w:val="19"/>
              </w:rPr>
              <w:t>non étalonnée</w:t>
            </w:r>
            <w:r>
              <w:rPr>
                <w:sz w:val="19"/>
              </w:rPr>
              <w:t xml:space="preserve"> : c'est un support d'entretien, pas un test psychométrique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Grille « feu tricolore » de validation du projet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03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⚪ C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Cohérente avec Ibarra (tester son projet sur le terrain) ; outil de dialogue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Modèles de CV, lettre, profil LinkedIn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05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⚪ C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Bonnes pratiques de recruteurs ; à adapter au secteur et au pays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  <w:t>Tableau de bord KPI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⚪ C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Logique du tableau de bord équilibré (Kaplan &amp; Norton) ; indicateurs à adapter au contexte local</w:t>
            </w:r>
          </w:p>
        </w:tc>
      </w:tr>
    </w:tbl>
    <w:p/>
    <w:p/>
    <w:p>
      <w:pPr>
        <w:pStyle w:val="Heading2"/>
      </w:pPr>
      <w:r>
        <w:t>3. Ce que disent les grandes études : 8 enseignements clés</w:t>
      </w:r>
    </w:p>
    <w:p>
      <w:pPr>
        <w:pStyle w:val="ListNumber"/>
      </w:pPr>
      <w:r>
        <w:rPr>
          <w:b/>
        </w:rPr>
        <w:t>Techniques + motivation = efficacité.</w:t>
      </w:r>
      <w:r>
        <w:rPr/>
        <w:t xml:space="preserve"> Apprendre à faire un CV ne suffit pas : il faut aussi renforcer la confiance, fixer des objectifs et gérer le stress (Liu et al., 2014).</w:t>
      </w:r>
    </w:p>
    <w:p>
      <w:pPr>
        <w:pStyle w:val="ListNumber"/>
      </w:pPr>
      <w:r>
        <w:rPr>
          <w:b/>
        </w:rPr>
        <w:t>Le chômage abîme la santé mentale</w:t>
      </w:r>
      <w:r>
        <w:rPr/>
        <w:t>, et cela freine la recherche (Paul &amp; Moser, 2009). Le soutien psychologique n'est pas un « bonus ».</w:t>
      </w:r>
    </w:p>
    <w:p>
      <w:pPr>
        <w:pStyle w:val="ListNumber"/>
      </w:pPr>
      <w:r>
        <w:rPr>
          <w:b/>
        </w:rPr>
        <w:t>L'aide à la recherche agit vite, la formation agit durablement</w:t>
      </w:r>
      <w:r>
        <w:rPr/>
        <w:t xml:space="preserve"> (Card, Kluve &amp; Weber, 2018). Un bon parcours combine les deux selon le profil.</w:t>
      </w:r>
    </w:p>
    <w:p>
      <w:pPr>
        <w:pStyle w:val="ListNumber"/>
      </w:pPr>
      <w:r>
        <w:rPr>
          <w:b/>
        </w:rPr>
        <w:t>Les effets sont plus forts pour les publics les plus éloignés de l'emploi</w:t>
      </w:r>
      <w:r>
        <w:rPr/>
        <w:t xml:space="preserve"> et en période de crise (Card et al., 2018). Il ne faut pas « écrémer » vers les profils faciles.</w:t>
      </w:r>
    </w:p>
    <w:p>
      <w:pPr>
        <w:pStyle w:val="ListNumber"/>
      </w:pPr>
      <w:r>
        <w:rPr>
          <w:b/>
        </w:rPr>
        <w:t>Accompagner sans créer d'emplois peut déplacer le chômage</w:t>
      </w:r>
      <w:r>
        <w:rPr/>
        <w:t xml:space="preserve"> (Crépon et al., 2013). La relation entreprises et la prospection sont indispensables.</w:t>
      </w:r>
    </w:p>
    <w:p>
      <w:pPr>
        <w:pStyle w:val="ListNumber"/>
      </w:pPr>
      <w:r>
        <w:rPr>
          <w:b/>
        </w:rPr>
        <w:t>Dans les pays en développement, les effets moyens sont souvent modestes</w:t>
      </w:r>
      <w:r>
        <w:rPr/>
        <w:t xml:space="preserve"> (McKenzie, 2017) : il faut cibler, mesurer et ajuster plutôt que multiplier les programmes.</w:t>
      </w:r>
    </w:p>
    <w:p>
      <w:pPr>
        <w:pStyle w:val="ListNumber"/>
      </w:pPr>
      <w:r>
        <w:rPr>
          <w:b/>
        </w:rPr>
        <w:t>Les liens faibles ouvrent des portes</w:t>
      </w:r>
      <w:r>
        <w:rPr/>
        <w:t xml:space="preserve"> (Granovetter, 1973) : élargir le réseau de la personne est un levier concret.</w:t>
      </w:r>
    </w:p>
    <w:p>
      <w:pPr>
        <w:pStyle w:val="ListNumber"/>
      </w:pPr>
      <w:r>
        <w:rPr>
          <w:b/>
        </w:rPr>
        <w:t>L'intégration se joue dans les premiers mois</w:t>
      </w:r>
      <w:r>
        <w:rPr/>
        <w:t xml:space="preserve"> (Bauer et al., 2007) : le suivi post-embauche prévient les ruptures.</w:t>
      </w:r>
    </w:p>
    <w:p/>
    <w:p>
      <w:pPr>
        <w:pStyle w:val="Heading2"/>
      </w:pPr>
      <w:r>
        <w:t>4. Avis d'experts : les positions qui structurent le métier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Expert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Discipline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Position défendue (en résumé)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b/>
                <w:color w:val="FFFFFF"/>
                <w:sz w:val="19"/>
              </w:rPr>
              <w:t>Où on la retrouve dans la valise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Bernard Gazier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Économie du travail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 xml:space="preserve">L'employabilité est </w:t>
            </w:r>
            <w:r>
              <w:rPr>
                <w:b/>
                <w:sz w:val="19"/>
              </w:rPr>
              <w:t>partagée</w:t>
            </w:r>
            <w:r>
              <w:rPr>
                <w:sz w:val="19"/>
              </w:rPr>
              <w:t xml:space="preserve"> : elle engage la personne, les employeurs et les politiques publiques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Diagnostic + relation entreprises + pilotage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Mark Savickas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Psychologie de l'orientation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 xml:space="preserve">Accompagner, c'est aider la personne à </w:t>
            </w:r>
            <w:r>
              <w:rPr>
                <w:b/>
                <w:sz w:val="19"/>
              </w:rPr>
              <w:t>construire le récit</w:t>
            </w:r>
            <w:r>
              <w:rPr>
                <w:sz w:val="19"/>
              </w:rPr>
              <w:t xml:space="preserve"> de sa carrière et son adaptabilité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Entretien de projet (03, 09)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John Krumboltz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Psychologie de l'orientation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 xml:space="preserve">L'indécision n'est pas un problème : il faut </w:t>
            </w:r>
            <w:r>
              <w:rPr>
                <w:b/>
                <w:sz w:val="19"/>
              </w:rPr>
              <w:t>provoquer les occasions</w:t>
            </w:r>
            <w:r>
              <w:rPr>
                <w:sz w:val="19"/>
              </w:rPr>
              <w:t xml:space="preserve"> et apprendre de l'imprévu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Enquêtes métiers, réseautage (05)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Herminia Ibarra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Comportement organisationnel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 xml:space="preserve">On change de métier </w:t>
            </w:r>
            <w:r>
              <w:rPr>
                <w:b/>
                <w:sz w:val="19"/>
              </w:rPr>
              <w:t>en agissant</w:t>
            </w:r>
            <w:r>
              <w:rPr>
                <w:sz w:val="19"/>
              </w:rPr>
              <w:t xml:space="preserve"> (essais, rencontres), pas en planifiant seulement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Validation terrain du projet (03)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Carl Rogers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Psychologie humaniste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La relation (empathie, authenticité, respect) est le moteur du changement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Posture du conseiller (09)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William Miller &amp; Stephen Rollnick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Psychologie clinique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 xml:space="preserve">La motivation se </w:t>
            </w:r>
            <w:r>
              <w:rPr>
                <w:b/>
                <w:sz w:val="19"/>
              </w:rPr>
              <w:t>fait émerger</w:t>
            </w:r>
            <w:r>
              <w:rPr>
                <w:sz w:val="19"/>
              </w:rPr>
              <w:t>, elle ne s'impose pas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Entretien motivationnel (09)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Albert Bandura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Psychologie sociale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Croire en sa capacité d'agir conditionne l'action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Coaching, simulations (06, 13)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Guy Le Boterf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Ingénierie des compétences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 xml:space="preserve">La compétence est un </w:t>
            </w:r>
            <w:r>
              <w:rPr>
                <w:b/>
                <w:sz w:val="19"/>
              </w:rPr>
              <w:t>savoir-agir en situation</w:t>
            </w:r>
            <w:r>
              <w:rPr>
                <w:sz w:val="19"/>
              </w:rPr>
              <w:t>, pas une liste de savoirs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Référentiel et bilan (08)</w:t>
            </w:r>
          </w:p>
        </w:tc>
      </w:tr>
      <w:tr>
        <w:tc>
          <w:tcPr>
            <w:tcW w:type="dxa" w:w="2484"/>
          </w:tcPr>
          <w:p>
            <w:r>
              <w:rPr>
                <w:b/>
                <w:sz w:val="19"/>
              </w:rPr>
              <w:t>James Heckman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Économie (prix Nobel 2000)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Les compétences socio-émotionnelles comptent autant que les compétences cognitives, et elles se développent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  <w:t>Soft skills (01, 13)</w:t>
            </w:r>
          </w:p>
        </w:tc>
      </w:tr>
      <w:tr>
        <w:tc>
          <w:tcPr>
            <w:tcW w:type="dxa" w:w="2484"/>
            <w:shd w:val="clear" w:color="auto" w:fill="EEF3F8"/>
          </w:tcPr>
          <w:p>
            <w:r>
              <w:rPr>
                <w:b/>
                <w:sz w:val="19"/>
              </w:rPr>
              <w:t>David Card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Économie (prix Nobel 2021)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Évaluer rigoureusement les politiques d'emploi : tous les programmes ne se valent pas</w:t>
            </w:r>
          </w:p>
        </w:tc>
        <w:tc>
          <w:tcPr>
            <w:tcW w:type="dxa" w:w="2484"/>
            <w:shd w:val="clear" w:color="auto" w:fill="EEF3F8"/>
          </w:tcPr>
          <w:p>
            <w:r>
              <w:rPr>
                <w:sz w:val="19"/>
              </w:rPr>
              <w:t>Pilotage par les résultats (12, 15)</w:t>
            </w:r>
          </w:p>
        </w:tc>
      </w:tr>
    </w:tbl>
    <w:p/>
    <w:p/>
    <w:p>
      <w:pPr>
        <w:pStyle w:val="Heading2"/>
      </w:pPr>
      <w:r>
        <w:t>5. Pratiques universelles reconnues (standards du métier)</w:t>
      </w:r>
    </w:p>
    <w:p>
      <w:r>
        <w:rPr/>
        <w:t>Ces pratiques se retrouvent dans les services publics de l'emploi et les référentiels internationaux</w:t>
      </w:r>
      <w:r>
        <w:br/>
      </w:r>
      <w:r>
        <w:rPr/>
        <w:t>(OIT, OCDE, AIOSP, NICE, ELGPN) :</w:t>
      </w:r>
    </w:p>
    <w:p>
      <w:pPr>
        <w:pStyle w:val="ListBullet"/>
      </w:pPr>
      <w:r>
        <w:rPr/>
        <w:t xml:space="preserve">✅ </w:t>
      </w:r>
      <w:r>
        <w:rPr>
          <w:b/>
        </w:rPr>
        <w:t>Centrer l'accompagnement sur la personne</w:t>
      </w:r>
      <w:r>
        <w:rPr/>
        <w:t xml:space="preserve"> : partir de ses besoins, de ses choix et de son rythme.</w:t>
      </w:r>
    </w:p>
    <w:p>
      <w:pPr>
        <w:pStyle w:val="ListBullet"/>
      </w:pPr>
      <w:r>
        <w:rPr/>
        <w:t xml:space="preserve">✅ </w:t>
      </w:r>
      <w:r>
        <w:rPr>
          <w:b/>
        </w:rPr>
        <w:t>Diagnostiquer avant d'agir</w:t>
      </w:r>
      <w:r>
        <w:rPr/>
        <w:t xml:space="preserve"> : repérer compétences, projet et freins avant de proposer une action.</w:t>
      </w:r>
    </w:p>
    <w:p>
      <w:pPr>
        <w:pStyle w:val="ListBullet"/>
      </w:pPr>
      <w:r>
        <w:rPr/>
        <w:t xml:space="preserve">✅ </w:t>
      </w:r>
      <w:r>
        <w:rPr>
          <w:b/>
        </w:rPr>
        <w:t>Individualiser le parcours</w:t>
      </w:r>
      <w:r>
        <w:rPr/>
        <w:t xml:space="preserve"> : même outil, usage différent selon le public (module 04).</w:t>
      </w:r>
    </w:p>
    <w:p>
      <w:pPr>
        <w:pStyle w:val="ListBullet"/>
      </w:pPr>
      <w:r>
        <w:rPr/>
        <w:t xml:space="preserve">✅ </w:t>
      </w:r>
      <w:r>
        <w:rPr>
          <w:b/>
        </w:rPr>
        <w:t>Contractualiser</w:t>
      </w:r>
      <w:r>
        <w:rPr/>
        <w:t xml:space="preserve"> : objectifs partagés, écrits, avec des échéances.</w:t>
      </w:r>
    </w:p>
    <w:p>
      <w:pPr>
        <w:pStyle w:val="ListBullet"/>
      </w:pPr>
      <w:r>
        <w:rPr/>
        <w:t xml:space="preserve">✅ </w:t>
      </w:r>
      <w:r>
        <w:rPr>
          <w:b/>
        </w:rPr>
        <w:t>Travailler l'offre ET la demande</w:t>
      </w:r>
      <w:r>
        <w:rPr/>
        <w:t xml:space="preserve"> : accompagner les chercheurs d'emploi et prospecter les entreprises.</w:t>
      </w:r>
    </w:p>
    <w:p>
      <w:pPr>
        <w:pStyle w:val="ListBullet"/>
      </w:pPr>
      <w:r>
        <w:rPr/>
        <w:t xml:space="preserve">✅ </w:t>
      </w:r>
      <w:r>
        <w:rPr>
          <w:b/>
        </w:rPr>
        <w:t>Combiner individuel et collectif</w:t>
      </w:r>
      <w:r>
        <w:rPr/>
        <w:t xml:space="preserve"> : entretiens + ateliers.</w:t>
      </w:r>
    </w:p>
    <w:p>
      <w:pPr>
        <w:pStyle w:val="ListBullet"/>
      </w:pPr>
      <w:r>
        <w:rPr/>
        <w:t xml:space="preserve">✅ </w:t>
      </w:r>
      <w:r>
        <w:rPr>
          <w:b/>
        </w:rPr>
        <w:t>Suivre après l'embauche</w:t>
      </w:r>
      <w:r>
        <w:rPr/>
        <w:t xml:space="preserve"> pour sécuriser l'intégration.</w:t>
      </w:r>
    </w:p>
    <w:p>
      <w:pPr>
        <w:pStyle w:val="ListBullet"/>
      </w:pPr>
      <w:r>
        <w:rPr/>
        <w:t xml:space="preserve">✅ </w:t>
      </w:r>
      <w:r>
        <w:rPr>
          <w:b/>
        </w:rPr>
        <w:t>Mesurer les résultats</w:t>
      </w:r>
      <w:r>
        <w:rPr/>
        <w:t xml:space="preserve"> (placements, durabilité, satisfaction) et ajuster.</w:t>
      </w:r>
    </w:p>
    <w:p>
      <w:pPr>
        <w:pStyle w:val="ListBullet"/>
      </w:pPr>
      <w:r>
        <w:rPr/>
        <w:t xml:space="preserve">✅ </w:t>
      </w:r>
      <w:r>
        <w:rPr>
          <w:b/>
        </w:rPr>
        <w:t>Coopérer en réseau</w:t>
      </w:r>
      <w:r>
        <w:rPr/>
        <w:t xml:space="preserve"> : formation, social, santé, employeurs, collectivités.</w:t>
      </w:r>
    </w:p>
    <w:p>
      <w:pPr>
        <w:pStyle w:val="ListBullet"/>
      </w:pPr>
      <w:r>
        <w:rPr/>
        <w:t xml:space="preserve">✅ </w:t>
      </w:r>
      <w:r>
        <w:rPr>
          <w:b/>
        </w:rPr>
        <w:t>Respecter la déontologie</w:t>
      </w:r>
      <w:r>
        <w:rPr/>
        <w:t xml:space="preserve"> : confidentialité, consentement, non-discrimination, neutralité, protection des données (loi 09-08 au Maroc).</w:t>
      </w:r>
    </w:p>
    <w:p>
      <w:pPr>
        <w:pStyle w:val="ListBullet"/>
      </w:pPr>
      <w:r>
        <w:rPr/>
        <w:t xml:space="preserve">✅ </w:t>
      </w:r>
      <w:r>
        <w:rPr>
          <w:b/>
        </w:rPr>
        <w:t>Se former en continu</w:t>
      </w:r>
      <w:r>
        <w:rPr/>
        <w:t xml:space="preserve"> et analyser sa pratique (supervision, co-développement).</w:t>
      </w:r>
    </w:p>
    <w:p/>
    <w:p>
      <w:pPr>
        <w:pStyle w:val="Heading2"/>
      </w:pPr>
      <w:r>
        <w:t>6. Limites et usage responsable de la valise</w:t>
      </w:r>
    </w:p>
    <w:p>
      <w:pPr>
        <w:pStyle w:val="ListBullet"/>
      </w:pPr>
      <w:r>
        <w:rPr/>
        <w:t xml:space="preserve">🔸 </w:t>
      </w:r>
      <w:r>
        <w:rPr>
          <w:b/>
        </w:rPr>
        <w:t>Pas de diagnostic médical ou psychologique</w:t>
      </w:r>
      <w:r>
        <w:rPr/>
        <w:t xml:space="preserve"> : en cas de souffrance psychique, d'addiction ou de handicap non évalué, </w:t>
      </w:r>
      <w:r>
        <w:rPr>
          <w:b/>
        </w:rPr>
        <w:t>orienter vers un professionnel</w:t>
      </w:r>
      <w:r>
        <w:rPr/>
        <w:t>.</w:t>
      </w:r>
    </w:p>
    <w:p>
      <w:pPr>
        <w:pStyle w:val="ListBullet"/>
      </w:pPr>
      <w:r>
        <w:rPr/>
        <w:t xml:space="preserve">🔸 </w:t>
      </w:r>
      <w:r>
        <w:rPr>
          <w:b/>
        </w:rPr>
        <w:t>Les grilles ne sont pas des tests</w:t>
      </w:r>
      <w:r>
        <w:rPr/>
        <w:t xml:space="preserve"> : elles servent à ouvrir le dialogue, jamais à classer ou exclure une personne.</w:t>
      </w:r>
    </w:p>
    <w:p>
      <w:pPr>
        <w:pStyle w:val="ListBullet"/>
      </w:pPr>
      <w:r>
        <w:rPr/>
        <w:t xml:space="preserve">🔸 </w:t>
      </w:r>
      <w:r>
        <w:rPr>
          <w:b/>
        </w:rPr>
        <w:t>Adapter au contexte culturel et local</w:t>
      </w:r>
      <w:r>
        <w:rPr/>
        <w:t xml:space="preserve"> : la plupart des études citées sont nord-américaines ou européennes ; leurs résultats doivent être transposés avec prudence au contexte marocain.</w:t>
      </w:r>
    </w:p>
    <w:p>
      <w:pPr>
        <w:pStyle w:val="ListBullet"/>
      </w:pPr>
      <w:r>
        <w:rPr/>
        <w:t xml:space="preserve">🔸 </w:t>
      </w:r>
      <w:r>
        <w:rPr>
          <w:b/>
        </w:rPr>
        <w:t>Méfiance envers les indicateurs</w:t>
      </w:r>
      <w:r>
        <w:rPr/>
        <w:t xml:space="preserve"> : un objectif chiffré de placement peut pousser à écrémer les publics ou à placer dans des emplois fragiles (loi de Goodhart). Toujours suivre aussi la </w:t>
      </w:r>
      <w:r>
        <w:rPr>
          <w:b/>
        </w:rPr>
        <w:t>durabilité</w:t>
      </w:r>
      <w:r>
        <w:rPr/>
        <w:t xml:space="preserve"> et la </w:t>
      </w:r>
      <w:r>
        <w:rPr>
          <w:b/>
        </w:rPr>
        <w:t>qualité</w:t>
      </w:r>
      <w:r>
        <w:rPr/>
        <w:t xml:space="preserve"> des emplois.</w:t>
      </w:r>
    </w:p>
    <w:p>
      <w:pPr>
        <w:pStyle w:val="ListBullet"/>
      </w:pPr>
      <w:r>
        <w:rPr/>
        <w:t xml:space="preserve">🔸 </w:t>
      </w:r>
      <w:r>
        <w:rPr>
          <w:b/>
        </w:rPr>
        <w:t>IA et outils numériques</w:t>
      </w:r>
      <w:r>
        <w:rPr/>
        <w:t xml:space="preserve"> : vérifier les contenus générés, ne jamais saisir de données personnelles sensibles dans un outil non autorisé.</w:t>
      </w:r>
    </w:p>
    <w:p>
      <w:pPr>
        <w:pStyle w:val="ListBullet"/>
      </w:pPr>
      <w:r>
        <w:rPr/>
        <w:t xml:space="preserve">🔸 </w:t>
      </w:r>
      <w:r>
        <w:rPr>
          <w:b/>
        </w:rPr>
        <w:t>Mettre à jour</w:t>
      </w:r>
      <w:r>
        <w:rPr/>
        <w:t xml:space="preserve"> : textes juridiques, programmes publics et données du marché changent. Revoir la valise au moins une fois par an.</w:t>
      </w:r>
    </w:p>
    <w:p>
      <w:pPr>
        <w:ind w:left="288"/>
      </w:pPr>
      <w:r>
        <w:rPr>
          <w:i/>
          <w:color w:val="555555"/>
        </w:rPr>
        <w:t xml:space="preserve">📚 Références complètes : </w:t>
      </w:r>
      <w:r>
        <w:rPr>
          <w:rFonts w:ascii="Consolas" w:hAnsi="Consolas"/>
          <w:i/>
          <w:color w:val="555555"/>
          <w:sz w:val="18"/>
        </w:rPr>
        <w:t>Bibliographie-de-reference.md</w:t>
      </w:r>
      <w:r>
        <w:rPr>
          <w:i/>
          <w:color w:val="555555"/>
        </w:rPr>
        <w:t xml:space="preserve"> · Théories par module : </w:t>
      </w:r>
      <w:r>
        <w:rPr>
          <w:rFonts w:ascii="Consolas" w:hAnsi="Consolas"/>
          <w:i/>
          <w:color w:val="555555"/>
          <w:sz w:val="18"/>
        </w:rPr>
        <w:t>Fondements-theoriques-par-module.md</w:t>
      </w:r>
      <w:r>
        <w:rPr>
          <w:i/>
          <w:color w:val="555555"/>
        </w:rPr>
        <w:t>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