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вымышленной компании ООО «Ромашка-Сервис», создан для демонстрации.</w:t>
      </w:r>
    </w:p>
    <w:p>
      <w:r>
        <w:t>Договор оказания услуг (типовая форма) ООО «Ромашка-Сервис»</w:t>
      </w:r>
    </w:p>
    <w:p>
      <w:r>
        <w:t>Заказчик оплачивает счёт в течение 5 рабочих дней с даты его получения.</w:t>
      </w:r>
    </w:p>
    <w:p>
      <w:r>
        <w:t>За просрочку оплаты начисляется пеня 0,1% от суммы долга за каждый день просрочки.</w:t>
      </w:r>
    </w:p>
    <w:p>
      <w:r>
        <w:t>Любая из сторон может расторгнуть договор, письменно уведомив другую сторону за 30 календарных дней.</w:t>
      </w:r>
    </w:p>
    <w:p>
      <w:r>
        <w:t>Гарантия на выполненные работы составляет 6 месяцев.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