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JiraUpgradeBaselineToolkit</w:t>
      </w:r>
    </w:p>
    <w:p>
      <w:pPr>
        <w:spacing w:after="200"/>
      </w:pPr>
      <w:r>
        <w:rPr>
          <w:color w:val="595959"/>
          <w:sz w:val="22"/>
        </w:rPr>
        <w:t>Documentation d’architecture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>
              <w:rPr>
                <w:b/>
              </w:rPr>
              <w:t>Version documentaire</w:t>
            </w:r>
          </w:p>
        </w:tc>
        <w:tc>
          <w:tcPr>
            <w:tcW w:type="dxa" w:w="5100"/>
          </w:tcPr>
          <w:p>
            <w:r>
              <w:t>0.2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00"/>
          </w:tcPr>
          <w:p>
            <w:r>
              <w:t>16 septembre 2026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b/>
              </w:rPr>
              <w:t>Périmètre</w:t>
            </w:r>
          </w:p>
        </w:tc>
        <w:tc>
          <w:tcPr>
            <w:tcW w:type="dxa" w:w="5100"/>
          </w:tcPr>
          <w:p>
            <w:r>
              <w:t>Jira Data Center - préparation, contrôle et traçabilité d’une montée de version</w:t>
            </w:r>
          </w:p>
        </w:tc>
      </w:tr>
    </w:tbl>
    <w:p/>
    <w:p>
      <w:pPr>
        <w:pStyle w:val="Heading2"/>
      </w:pPr>
      <w:r>
        <w:t>Historique des versions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400"/>
            <w:shd w:fill="1F4E78"/>
          </w:tcPr>
          <w:p>
            <w:r>
              <w:rPr>
                <w:b/>
                <w:color w:val="FFFFFF"/>
              </w:rPr>
              <w:t>Évolution</w:t>
            </w:r>
          </w:p>
        </w:tc>
      </w:tr>
      <w:tr>
        <w:tc>
          <w:tcPr>
            <w:tcW w:type="dxa" w:w="3400"/>
          </w:tcPr>
          <w:p>
            <w:r>
              <w:t>0.1</w:t>
            </w:r>
          </w:p>
        </w:tc>
        <w:tc>
          <w:tcPr>
            <w:tcW w:type="dxa" w:w="3400"/>
          </w:tcPr>
          <w:p>
            <w:r>
              <w:t>—</w:t>
            </w:r>
          </w:p>
        </w:tc>
        <w:tc>
          <w:tcPr>
            <w:tcW w:type="dxa" w:w="3400"/>
          </w:tcPr>
          <w:p>
            <w:r>
              <w:t>Version initiale du document.</w:t>
            </w:r>
          </w:p>
        </w:tc>
      </w:tr>
      <w:tr>
        <w:tc>
          <w:tcPr>
            <w:tcW w:type="dxa" w:w="3400"/>
          </w:tcPr>
          <w:p>
            <w:r>
              <w:t>0.2</w:t>
            </w:r>
          </w:p>
        </w:tc>
        <w:tc>
          <w:tcPr>
            <w:tcW w:type="dxa" w:w="3400"/>
          </w:tcPr>
          <w:p>
            <w:r>
              <w:t>16/09/2026</w:t>
            </w:r>
          </w:p>
        </w:tc>
        <w:tc>
          <w:tcPr>
            <w:tcW w:type="dxa" w:w="3400"/>
          </w:tcPr>
          <w:p>
            <w:r>
              <w:t>Mise à jour du toolkit : App Compatibility, apps Atlassian bundlées, stratégies bridge/target-only, liens Marketplace publics, Supported Platforms et règles détaillées de saisie Readiness.</w:t>
            </w:r>
          </w:p>
        </w:tc>
      </w:tr>
    </w:tbl>
    <w:p/>
    <w:p>
      <w:r>
        <w:rPr>
          <w:b/>
        </w:rPr>
        <w:t>Cas courant du projet : Jira 10.3.25 → Jira 11.3.11</w:t>
      </w:r>
    </w:p>
    <w:p>
      <w:pPr>
        <w:pStyle w:val="Heading1"/>
      </w:pPr>
      <w:r>
        <w:t>1. Objectif du toolkit</w:t>
      </w:r>
    </w:p>
    <w:p>
      <w:r>
        <w:rPr>
          <w:rFonts w:ascii="Consolas" w:hAnsi="Consolas"/>
          <w:color w:val="404040"/>
          <w:sz w:val="18"/>
        </w:rPr>
        <w:t>JiraUpgradeBaselineToolkit</w:t>
      </w:r>
      <w:r>
        <w:t xml:space="preserve"> automatise la collecte d’une baseline technique Jira, produit un état de préparation avant upgrade, analyse la compatibilité des applications, puis permet de comparer l’état PRE et POST.</w:t>
      </w:r>
    </w:p>
    <w:p>
      <w:r>
        <w:t>Le toolkit ne remplace pas le runbook d’upgrade. Il fournit les éléments de décision, de traçabilité et de contrôle nécessaires au runbook : inventaire, readiness, compatibilités, preuves et comparaison après upgrade.</w:t>
      </w:r>
    </w:p>
    <w:p>
      <w:r>
        <w:t>Principes structurants :</w:t>
      </w:r>
    </w:p>
    <w:p>
      <w:pPr>
        <w:pStyle w:val="ListBullet"/>
        <w:ind w:left="340"/>
      </w:pPr>
      <w:r>
        <w:t xml:space="preserve">la </w:t>
      </w:r>
      <w:r>
        <w:rPr>
          <w:b/>
        </w:rPr>
        <w:t>source réelle</w:t>
      </w:r>
      <w:r>
        <w:t xml:space="preserve"> est collectée automatiquement depuis Jira via un endpoint ScriptRunner ;</w:t>
      </w:r>
    </w:p>
    <w:p>
      <w:pPr>
        <w:pStyle w:val="ListBullet"/>
        <w:ind w:left="340"/>
      </w:pPr>
      <w:r>
        <w:t xml:space="preserve">la </w:t>
      </w:r>
      <w:r>
        <w:rPr>
          <w:b/>
        </w:rPr>
        <w:t>cible Jira</w:t>
      </w:r>
      <w:r>
        <w:t xml:space="preserve"> est définie dans la configuration locale (</w:t>
      </w:r>
      <w:r>
        <w:rPr>
          <w:rFonts w:ascii="Consolas" w:hAnsi="Consolas"/>
          <w:color w:val="404040"/>
          <w:sz w:val="18"/>
        </w:rPr>
        <w:t>.env</w:t>
      </w:r>
      <w:r>
        <w:t>) ;</w:t>
      </w:r>
    </w:p>
    <w:p>
      <w:pPr>
        <w:pStyle w:val="ListBullet"/>
        <w:ind w:left="340"/>
      </w:pPr>
      <w:r>
        <w:t xml:space="preserve">les contrôles sont séparés entre </w:t>
      </w:r>
      <w:r>
        <w:rPr>
          <w:b/>
        </w:rPr>
        <w:t>AUTO</w:t>
      </w:r>
      <w:r>
        <w:t xml:space="preserve">, </w:t>
      </w:r>
      <w:r>
        <w:rPr>
          <w:b/>
        </w:rPr>
        <w:t>EXTERNAL</w:t>
      </w:r>
      <w:r>
        <w:t xml:space="preserve"> et </w:t>
      </w:r>
      <w:r>
        <w:rPr>
          <w:b/>
        </w:rPr>
        <w:t>MANUAL</w:t>
      </w:r>
      <w:r>
        <w:t xml:space="preserve"> ;</w:t>
      </w:r>
    </w:p>
    <w:p>
      <w:pPr>
        <w:pStyle w:val="ListBullet"/>
        <w:ind w:left="340"/>
      </w:pPr>
      <w:r>
        <w:t>les applications tierces sont évaluées dynamiquement via Atlassian Marketplace ;</w:t>
      </w:r>
    </w:p>
    <w:p>
      <w:pPr>
        <w:pStyle w:val="ListBullet"/>
        <w:ind w:left="340"/>
      </w:pPr>
      <w:r>
        <w:t>les composants Atlassian bundlés avec Jira suivent une politique différente des apps Marketplace classiques ;</w:t>
      </w:r>
    </w:p>
    <w:p>
      <w:pPr>
        <w:pStyle w:val="ListBullet"/>
        <w:ind w:left="340"/>
      </w:pPr>
      <w:r>
        <w:t>le rapport PRE devient le document de travail de préparation et de décision ;</w:t>
      </w:r>
    </w:p>
    <w:p>
      <w:pPr>
        <w:pStyle w:val="ListBullet"/>
        <w:ind w:left="340"/>
      </w:pPr>
      <w:r>
        <w:t>la comparaison POST se base sur les baselines JSON, et non sur les cellules modifiées manuellement dans Excel.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2. Architecture logique</w:t>
      </w:r>
    </w:p>
    <w:p>
      <w:pPr>
        <w:pStyle w:val="CodeBlock"/>
        <w:shd w:fill="EEF3F8"/>
      </w:pPr>
      <w:r>
        <w:t>Administrateur / Consultant  -&gt;  main.py</w:t>
        <w:br/>
        <w:t>main.py  -&gt;  config.py / .env</w:t>
        <w:br/>
        <w:t>main.py  -&gt;  JiraApiClient</w:t>
        <w:br/>
        <w:t>JiraApiClient  -&gt;  ScriptRunner REST endpoint / upgradeBaseline</w:t>
        <w:br/>
        <w:t>ScriptRunner REST endpoint / upgradeBaseline  -&gt;  Jira Data Center</w:t>
        <w:br/>
        <w:t>main.py  -&gt;  baseline_collector.py</w:t>
        <w:br/>
        <w:t>baseline_collector.py  -&gt;  Baseline JSON</w:t>
        <w:br/>
        <w:t>Baseline JSON  -&gt;  baseline_analyzer.py</w:t>
        <w:br/>
        <w:t>Baseline JSON  -&gt;  readiness_analyzer.py</w:t>
        <w:br/>
        <w:t>readiness_analyzer.py  -&gt;  compatibility_matrix.py</w:t>
        <w:br/>
        <w:t>Baseline JSON  -&gt;  app_compatibility.py / PRE uniquement</w:t>
        <w:br/>
        <w:t>app_compatibility.py / PRE uniquement  -&gt;  Atlassian Marketplace REST v3 / authentifié</w:t>
        <w:br/>
        <w:t>app_compatibility.py / PRE uniquement  -&gt;  Marketplace REST v2 / pages publiques / liens ouvrables</w:t>
        <w:br/>
        <w:t>baseline_analyzer.py  -&gt;  excel_report.py</w:t>
        <w:br/>
        <w:t>readiness_analyzer.py  -&gt;  excel_report.py</w:t>
        <w:br/>
        <w:t>app_compatibility.py / PRE uniquement  -&gt;  excel_report.py</w:t>
        <w:br/>
        <w:t>compatibility_matrix.py  -&gt;  excel_report.py</w:t>
        <w:br/>
        <w:t>excel_report.py  -&gt;  Rapport Excel PRE / POST</w:t>
        <w:br/>
        <w:t>Baseline JSON  -&gt;  baseline_comparator.py</w:t>
        <w:br/>
        <w:t>baseline_comparator.py  -&gt;  Rapport COMPARE / PRE_POST</w:t>
      </w:r>
    </w:p>
    <w:p>
      <w:pPr>
        <w:pStyle w:val="Heading2"/>
      </w:pPr>
      <w:r>
        <w:t>Séparation des responsabilités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Responsabilité principale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main.py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 xml:space="preserve">Orchestration des modes </w:t>
            </w:r>
            <w:r>
              <w:rPr>
                <w:rFonts w:ascii="Consolas" w:hAnsi="Consolas"/>
                <w:color w:val="404040"/>
                <w:sz w:val="18"/>
              </w:rPr>
              <w:t>pre</w:t>
            </w:r>
            <w:r>
              <w:t xml:space="preserve">, </w:t>
            </w:r>
            <w:r>
              <w:rPr>
                <w:rFonts w:ascii="Consolas" w:hAnsi="Consolas"/>
                <w:color w:val="404040"/>
                <w:sz w:val="18"/>
              </w:rPr>
              <w:t>post</w:t>
            </w:r>
            <w:r>
              <w:t xml:space="preserve">, </w:t>
            </w:r>
            <w:r>
              <w:rPr>
                <w:rFonts w:ascii="Consolas" w:hAnsi="Consolas"/>
                <w:color w:val="404040"/>
                <w:sz w:val="18"/>
              </w:rPr>
              <w:t>compare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config.py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Chargement et validation de la configuration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api_client.py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Appels HTTP Jira, retry/backoff, statistiques techniques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baseline_collector.py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Appel de l’endpoint ScriptRunner et récupération du JSON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 xml:space="preserve">Endpoint Groovy </w:t>
            </w:r>
            <w:r>
              <w:rPr>
                <w:rFonts w:ascii="Consolas" w:hAnsi="Consolas"/>
                <w:color w:val="404040"/>
                <w:sz w:val="18"/>
              </w:rPr>
              <w:t>upgradeBaseline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Collecte côté Jira des informations serveur, Jira, DB, JVM et apps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baseline_analyzer.py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Détection de findings sur l’état collecté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readiness_analyzer.py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Construction des contrôles de préparation à l’upgrade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compatibility_matrix.py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Matrice locale des plateformes supportées pour la cible Jira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app_compatibility.py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Analyse des apps tierces et politique des apps Atlassian bundlées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baseline_comparator.py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Comparaison des baselines PRE et POST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excel_report.py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Génération des onglets Excel, styles, liens et statuts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logger.py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Journalisation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utils/files.py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Nommage, horodatage, lecture/écriture JSON, sélection du dernier fichier</w:t>
            </w:r>
          </w:p>
        </w:tc>
      </w:tr>
    </w:tbl>
    <w:p/>
    <w:p>
      <w:pPr>
        <w:pBdr>
          <w:bottom w:val="single" w:sz="6" w:color="D9E1F2"/>
        </w:pBdr>
      </w:pPr>
    </w:p>
    <w:p>
      <w:pPr>
        <w:pStyle w:val="Heading1"/>
      </w:pPr>
      <w:r>
        <w:t>3. Endpoint ScriptRunner</w:t>
      </w:r>
    </w:p>
    <w:p>
      <w:r>
        <w:t>Le toolkit s’appuie sur un endpoint ScriptRunner côté Jira :</w:t>
      </w:r>
    </w:p>
    <w:p>
      <w:pPr>
        <w:pStyle w:val="CodeBlock"/>
        <w:shd w:fill="F2F2F2"/>
      </w:pPr>
      <w:r>
        <w:t>GET /rest/scriptrunner/latest/custom/upgradeBaseline</w:t>
      </w:r>
    </w:p>
    <w:p>
      <w:r>
        <w:t xml:space="preserve">L’endpoint est restreint au groupe </w:t>
      </w:r>
      <w:r>
        <w:rPr>
          <w:rFonts w:ascii="Consolas" w:hAnsi="Consolas"/>
          <w:color w:val="404040"/>
          <w:sz w:val="18"/>
        </w:rPr>
        <w:t>jira-administrators</w:t>
      </w:r>
      <w:r>
        <w:t>.</w:t>
      </w:r>
    </w:p>
    <w:p>
      <w:r>
        <w:t>Il collecte notamment, selon disponibilité :</w:t>
      </w:r>
    </w:p>
    <w:p>
      <w:pPr>
        <w:pStyle w:val="ListBullet"/>
        <w:ind w:left="340"/>
      </w:pPr>
      <w:r>
        <w:t>version et build Jira ;</w:t>
      </w:r>
    </w:p>
    <w:p>
      <w:pPr>
        <w:pStyle w:val="ListBullet"/>
        <w:ind w:left="340"/>
      </w:pPr>
      <w:r>
        <w:t>build applicatif et build enregistré en base ;</w:t>
      </w:r>
    </w:p>
    <w:p>
      <w:pPr>
        <w:pStyle w:val="ListBullet"/>
        <w:ind w:left="340"/>
      </w:pPr>
      <w:r>
        <w:t>Base URL ;</w:t>
      </w:r>
    </w:p>
    <w:p>
      <w:pPr>
        <w:pStyle w:val="ListBullet"/>
        <w:ind w:left="340"/>
      </w:pPr>
      <w:r>
        <w:t>architecture single node / cluster ;</w:t>
      </w:r>
    </w:p>
    <w:p>
      <w:pPr>
        <w:pStyle w:val="ListBullet"/>
        <w:ind w:left="340"/>
      </w:pPr>
      <w:r>
        <w:t xml:space="preserve">chemins </w:t>
      </w:r>
      <w:r>
        <w:rPr>
          <w:rFonts w:ascii="Consolas" w:hAnsi="Consolas"/>
          <w:color w:val="404040"/>
          <w:sz w:val="18"/>
        </w:rPr>
        <w:t>JIRA_HOME</w:t>
      </w:r>
      <w:r>
        <w:t xml:space="preserve"> et installation ;</w:t>
      </w:r>
    </w:p>
    <w:p>
      <w:pPr>
        <w:pStyle w:val="ListBullet"/>
        <w:ind w:left="340"/>
      </w:pPr>
      <w:r>
        <w:t xml:space="preserve">version Java, JVM, </w:t>
      </w:r>
      <w:r>
        <w:rPr>
          <w:rFonts w:ascii="Consolas" w:hAnsi="Consolas"/>
          <w:color w:val="404040"/>
          <w:sz w:val="18"/>
        </w:rPr>
        <w:t>JAVA_HOME</w:t>
      </w:r>
      <w:r>
        <w:t>, Xms/Xmx et informations mémoire ;</w:t>
      </w:r>
    </w:p>
    <w:p>
      <w:pPr>
        <w:pStyle w:val="ListBullet"/>
        <w:ind w:left="340"/>
      </w:pPr>
      <w:r>
        <w:t>OS, architecture CPU, nombre de processeurs, mémoire physique ;</w:t>
      </w:r>
    </w:p>
    <w:p>
      <w:pPr>
        <w:pStyle w:val="ListBullet"/>
        <w:ind w:left="340"/>
      </w:pPr>
      <w:r>
        <w:t>espace disque ;</w:t>
      </w:r>
    </w:p>
    <w:p>
      <w:pPr>
        <w:pStyle w:val="ListBullet"/>
        <w:ind w:left="340"/>
      </w:pPr>
      <w:r>
        <w:t>informations de connexion DB non sensibles : type, schéma, URL JDBC, driver, utilisateur ;</w:t>
      </w:r>
    </w:p>
    <w:p>
      <w:pPr>
        <w:pStyle w:val="ListBullet"/>
        <w:ind w:left="340"/>
      </w:pPr>
      <w:r>
        <w:t>inventaire des applications tierces ;</w:t>
      </w:r>
    </w:p>
    <w:p>
      <w:pPr>
        <w:pStyle w:val="ListBullet"/>
        <w:ind w:left="340"/>
      </w:pPr>
      <w:r>
        <w:t>applications Atlassian importantes suivies ;</w:t>
      </w:r>
    </w:p>
    <w:p>
      <w:pPr>
        <w:pStyle w:val="ListBullet"/>
        <w:ind w:left="340"/>
      </w:pPr>
      <w:r>
        <w:t>volumétrie de configuration Jira (projets, champs, issue types, statuts, workflows, etc.).</w:t>
      </w:r>
    </w:p>
    <w:p>
      <w:r>
        <w:t>Le mot de passe de base de données ne doit jamais être retourné par l’endpoint.</w:t>
      </w:r>
    </w:p>
    <w:p>
      <w:pPr>
        <w:spacing w:before="80" w:after="140"/>
        <w:ind w:left="142" w:right="142"/>
        <w:shd w:fill="D9EAF7"/>
      </w:pPr>
      <w:r>
        <w:rPr>
          <w:b w:val="0"/>
        </w:rPr>
        <w:t>Certaines informations peuvent rester absentes si Jira ou l’environnement ne les expose pas. Elles doivent alors apparaître comme `UNKNOWN` ou `NOT_ASSESSED`, et non être devinées.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4. Flux PRE</w:t>
      </w:r>
    </w:p>
    <w:p>
      <w:r>
        <w:t>Commande :</w:t>
      </w:r>
    </w:p>
    <w:p>
      <w:pPr>
        <w:pStyle w:val="CodeBlock"/>
        <w:shd w:fill="F2F2F2"/>
      </w:pPr>
      <w:r>
        <w:t>python main.py --mode pre</w:t>
      </w:r>
    </w:p>
    <w:p>
      <w:r>
        <w:t>Séquence :</w:t>
      </w:r>
    </w:p>
    <w:p>
      <w:pPr>
        <w:pStyle w:val="CodeBlock"/>
        <w:shd w:fill="EEF3F8"/>
      </w:pPr>
      <w:r>
        <w:t>Utilisateur  -&gt;  main.py : --mode pre</w:t>
        <w:br/>
        <w:t>main.py  -&gt;  Jira / ScriptRunner : GET upgradeBaseline</w:t>
        <w:br/>
        <w:t>Jira / ScriptRunner  -&gt;  main.py : Baseline JSON</w:t>
        <w:br/>
        <w:t>main.py  -&gt;  main.py : Sauvegarde JSON PRE</w:t>
        <w:br/>
        <w:t>main.py  -&gt;  Readiness : Analyse Readiness</w:t>
        <w:br/>
        <w:t>Readiness  -&gt;  Readiness : Évaluation matrice locale</w:t>
        <w:br/>
        <w:t>main.py  -&gt;  App Compatibility : Analyse des applications</w:t>
        <w:br/>
        <w:t>App Compatibility  -&gt;  Marketplace : Compatibilité Marketplace des apps classiques</w:t>
        <w:br/>
        <w:t>Marketplace  -&gt;  App Compatibility : Versions + plages de build</w:t>
        <w:br/>
        <w:t>App Compatibility  -&gt;  App Compatibility : Politique spéciale apps bundlées</w:t>
        <w:br/>
        <w:t>App Compatibility  -&gt;  Readiness : Enrichissement lignes APPLICATIONS</w:t>
        <w:br/>
        <w:t>main.py  -&gt;  Excel : Génération Excel PRE</w:t>
        <w:br/>
        <w:t>Excel  -&gt;  Utilisateur : Rapport de préparation</w:t>
      </w:r>
    </w:p>
    <w:p>
      <w:r>
        <w:t xml:space="preserve">Le mode PRE est le seul mode qui exécute actuellement l’analyse détaillée </w:t>
      </w:r>
      <w:r>
        <w:rPr>
          <w:rFonts w:ascii="Consolas" w:hAnsi="Consolas"/>
          <w:color w:val="404040"/>
          <w:sz w:val="18"/>
        </w:rPr>
        <w:t>App Compatibility</w:t>
      </w:r>
      <w:r>
        <w:t>.</w:t>
      </w:r>
    </w:p>
    <w:p>
      <w:pPr>
        <w:pStyle w:val="Heading2"/>
      </w:pPr>
      <w:r>
        <w:t>Sorties PRE</w:t>
      </w:r>
    </w:p>
    <w:p>
      <w:pPr>
        <w:pStyle w:val="CodeBlock"/>
        <w:shd w:fill="F2F2F2"/>
      </w:pPr>
      <w:r>
        <w:t>output/</w:t>
        <w:br/>
        <w:t>├── json/</w:t>
        <w:br/>
        <w:t>│   └── &lt;INSTANCE&gt;_PRE_&lt;timestamp&gt;.json</w:t>
        <w:br/>
        <w:t>├── excel/</w:t>
        <w:br/>
        <w:t>│   └── &lt;INSTANCE&gt;_PRE_&lt;timestamp&gt;.xlsx</w:t>
        <w:br/>
        <w:t>└── logs/</w:t>
      </w:r>
    </w:p>
    <w:p>
      <w:r>
        <w:t>Le JSON est la photographie technique automatique. L’Excel PRE est la vue exploitable par le projet.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5. Flux POST</w:t>
      </w:r>
    </w:p>
    <w:p>
      <w:r>
        <w:t>Commande :</w:t>
      </w:r>
    </w:p>
    <w:p>
      <w:pPr>
        <w:pStyle w:val="CodeBlock"/>
        <w:shd w:fill="F2F2F2"/>
      </w:pPr>
      <w:r>
        <w:t>python main.py --mode post</w:t>
      </w:r>
    </w:p>
    <w:p>
      <w:r>
        <w:t>Le mode POST recollecte l’instance après upgrade et produit :</w:t>
      </w:r>
    </w:p>
    <w:p>
      <w:pPr>
        <w:pStyle w:val="ListBullet"/>
        <w:ind w:left="340"/>
      </w:pPr>
      <w:r>
        <w:t>une baseline JSON POST ;</w:t>
      </w:r>
    </w:p>
    <w:p>
      <w:pPr>
        <w:pStyle w:val="ListBullet"/>
        <w:ind w:left="340"/>
      </w:pPr>
      <w:r>
        <w:t>les findings de l’état POST ;</w:t>
      </w:r>
    </w:p>
    <w:p>
      <w:pPr>
        <w:pStyle w:val="ListBullet"/>
        <w:ind w:left="340"/>
      </w:pPr>
      <w:r>
        <w:t>un Readiness recalculé face à la cible ;</w:t>
      </w:r>
    </w:p>
    <w:p>
      <w:pPr>
        <w:pStyle w:val="ListBullet"/>
        <w:ind w:left="340"/>
      </w:pPr>
      <w:r>
        <w:t>un rapport Excel POST.</w:t>
      </w:r>
    </w:p>
    <w:p>
      <w:r>
        <w:t>L’analyse détaillée Marketplace des applications n’est pas relancée en mode POST. La validation des apps après upgrade doit être faite à travers les tests POST et les contrôles prévus dans le runbook.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6. Flux COMPARE</w:t>
      </w:r>
    </w:p>
    <w:p>
      <w:r>
        <w:t>Commande :</w:t>
      </w:r>
    </w:p>
    <w:p>
      <w:pPr>
        <w:pStyle w:val="CodeBlock"/>
        <w:shd w:fill="F2F2F2"/>
      </w:pPr>
      <w:r>
        <w:t>python main.py --mode compare</w:t>
      </w:r>
    </w:p>
    <w:p>
      <w:r>
        <w:t>Le programme recherche les fichiers les plus récents correspondant à :</w:t>
      </w:r>
    </w:p>
    <w:p>
      <w:pPr>
        <w:pStyle w:val="CodeBlock"/>
        <w:shd w:fill="F2F2F2"/>
      </w:pPr>
      <w:r>
        <w:t>&lt;INSTANCE&gt;_PRE_*.json</w:t>
        <w:br/>
        <w:t>&lt;INSTANCE&gt;_POST_*.json</w:t>
      </w:r>
    </w:p>
    <w:p>
      <w:r>
        <w:t>Puis il compare les valeurs attendues entre PRE et POST.</w:t>
      </w:r>
    </w:p>
    <w:p>
      <w:r>
        <w:t xml:space="preserve">Le rapport COMPARE contient l’onglet </w:t>
      </w:r>
      <w:r>
        <w:rPr>
          <w:rFonts w:ascii="Consolas" w:hAnsi="Consolas"/>
          <w:color w:val="404040"/>
          <w:sz w:val="18"/>
        </w:rPr>
        <w:t>PRE_POST</w:t>
      </w:r>
      <w:r>
        <w:t xml:space="preserve"> en complément des vues construites à partir de l’état POST.</w:t>
      </w:r>
    </w:p>
    <w:p>
      <w:pPr>
        <w:spacing w:before="80" w:after="140"/>
        <w:ind w:left="142" w:right="142"/>
        <w:shd w:fill="D9EAF7"/>
      </w:pPr>
      <w:r>
        <w:rPr>
          <w:b w:val="0"/>
        </w:rPr>
        <w:t>Point important : le mode `compare` compare les **JSON techniques**. Les modifications manuelles apportées au fichier Excel PRE ne sont pas reprises automatiquement dans le rapport COMPARE.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7. Readiness</w:t>
      </w:r>
    </w:p>
    <w:p>
      <w:r>
        <w:rPr>
          <w:rFonts w:ascii="Consolas" w:hAnsi="Consolas"/>
          <w:color w:val="404040"/>
          <w:sz w:val="18"/>
        </w:rPr>
        <w:t>readiness_analyzer.py</w:t>
      </w:r>
      <w:r>
        <w:t xml:space="preserve"> construit une liste de contrôles répartis par domaines, notamment :</w:t>
      </w:r>
    </w:p>
    <w:p>
      <w:pPr>
        <w:pStyle w:val="ListBullet"/>
        <w:ind w:left="340"/>
      </w:pPr>
      <w:r>
        <w:t>JIRA / UPGRADE ;</w:t>
      </w:r>
    </w:p>
    <w:p>
      <w:pPr>
        <w:pStyle w:val="ListBullet"/>
        <w:ind w:left="340"/>
      </w:pPr>
      <w:r>
        <w:t>JAVA ;</w:t>
      </w:r>
    </w:p>
    <w:p>
      <w:pPr>
        <w:pStyle w:val="ListBullet"/>
        <w:ind w:left="340"/>
      </w:pPr>
      <w:r>
        <w:t>DATABASE ;</w:t>
      </w:r>
    </w:p>
    <w:p>
      <w:pPr>
        <w:pStyle w:val="ListBullet"/>
        <w:ind w:left="340"/>
      </w:pPr>
      <w:r>
        <w:t>ARCHITECTURE ;</w:t>
      </w:r>
    </w:p>
    <w:p>
      <w:pPr>
        <w:pStyle w:val="ListBullet"/>
        <w:ind w:left="340"/>
      </w:pPr>
      <w:r>
        <w:t>OS / INFRASTRUCTURE ;</w:t>
      </w:r>
    </w:p>
    <w:p>
      <w:pPr>
        <w:pStyle w:val="ListBullet"/>
        <w:ind w:left="340"/>
      </w:pPr>
      <w:r>
        <w:t>FILESYSTEM / PROXY ;</w:t>
      </w:r>
    </w:p>
    <w:p>
      <w:pPr>
        <w:pStyle w:val="ListBullet"/>
        <w:ind w:left="340"/>
      </w:pPr>
      <w:r>
        <w:t>AUTHENTICATION / LDAP ;</w:t>
      </w:r>
    </w:p>
    <w:p>
      <w:pPr>
        <w:pStyle w:val="ListBullet"/>
        <w:ind w:left="340"/>
      </w:pPr>
      <w:r>
        <w:t>MAIL ;</w:t>
      </w:r>
    </w:p>
    <w:p>
      <w:pPr>
        <w:pStyle w:val="ListBullet"/>
        <w:ind w:left="340"/>
      </w:pPr>
      <w:r>
        <w:t>AUTOMATION ;</w:t>
      </w:r>
    </w:p>
    <w:p>
      <w:pPr>
        <w:pStyle w:val="ListBullet"/>
        <w:ind w:left="340"/>
      </w:pPr>
      <w:r>
        <w:t>INTEGRATIONS ;</w:t>
      </w:r>
    </w:p>
    <w:p>
      <w:pPr>
        <w:pStyle w:val="ListBullet"/>
        <w:ind w:left="340"/>
      </w:pPr>
      <w:r>
        <w:t>SCRIPTING ;</w:t>
      </w:r>
    </w:p>
    <w:p>
      <w:pPr>
        <w:pStyle w:val="ListBullet"/>
        <w:ind w:left="340"/>
      </w:pPr>
      <w:r>
        <w:t>INDEX / DATA ;</w:t>
      </w:r>
    </w:p>
    <w:p>
      <w:pPr>
        <w:pStyle w:val="ListBullet"/>
        <w:ind w:left="340"/>
      </w:pPr>
      <w:r>
        <w:t>BACKUP / ROLLBACK ;</w:t>
      </w:r>
    </w:p>
    <w:p>
      <w:pPr>
        <w:pStyle w:val="ListBullet"/>
        <w:ind w:left="340"/>
      </w:pPr>
      <w:r>
        <w:t>CLONE ;</w:t>
      </w:r>
    </w:p>
    <w:p>
      <w:pPr>
        <w:pStyle w:val="ListBullet"/>
        <w:ind w:left="340"/>
      </w:pPr>
      <w:r>
        <w:t>TESTING ;</w:t>
      </w:r>
    </w:p>
    <w:p>
      <w:pPr>
        <w:pStyle w:val="ListBullet"/>
        <w:ind w:left="340"/>
      </w:pPr>
      <w:r>
        <w:t>ACCESS / LOGGING ;</w:t>
      </w:r>
    </w:p>
    <w:p>
      <w:pPr>
        <w:pStyle w:val="ListBullet"/>
        <w:ind w:left="340"/>
      </w:pPr>
      <w:r>
        <w:t>LICENSING / MONITORING ;</w:t>
      </w:r>
    </w:p>
    <w:p>
      <w:pPr>
        <w:pStyle w:val="ListBullet"/>
        <w:ind w:left="340"/>
      </w:pPr>
      <w:r>
        <w:t>GOVERNANCE ;</w:t>
      </w:r>
    </w:p>
    <w:p>
      <w:pPr>
        <w:pStyle w:val="ListBullet"/>
        <w:ind w:left="340"/>
      </w:pPr>
      <w:r>
        <w:t>APPLICATIONS.</w:t>
      </w:r>
    </w:p>
    <w:p>
      <w:pPr>
        <w:pStyle w:val="Heading2"/>
      </w:pPr>
      <w:r>
        <w:t>Méthodes d’évaluation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Méthode</w:t>
            </w:r>
          </w:p>
        </w:tc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Signification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AUTO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La valeur et/ou le contrôle est évalué automatiquement par le programme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EXTERNAL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L’évaluation nécessite une source externe officielle ou un service externe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MANUAL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Une vérification humaine ou opérationnelle est nécessaire</w:t>
            </w:r>
          </w:p>
        </w:tc>
      </w:tr>
    </w:tbl>
    <w:p/>
    <w:p>
      <w:pPr>
        <w:pStyle w:val="Heading2"/>
      </w:pPr>
      <w:r>
        <w:t>Statuts Readiness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Statut</w:t>
            </w:r>
          </w:p>
        </w:tc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Sens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PASS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Contrôle effectué et conforme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WARNING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Contrôle effectué ; attention ou action à prévoir, sans être nécessairement bloquante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FAIL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Prérequis non respecté ou blocage à traiter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NOT_ASSESSED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Information connue, mais contrôle/validation pas encore réalisé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UNKNOWN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L’information nécessaire n’a pas pu être obtenue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INFO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Information descriptive, sans décision de conformité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N/A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 applicable au contexte</w:t>
            </w:r>
          </w:p>
        </w:tc>
      </w:tr>
    </w:tbl>
    <w:p/>
    <w:p>
      <w:r>
        <w:rPr>
          <w:rFonts w:ascii="Consolas" w:hAnsi="Consolas"/>
          <w:color w:val="404040"/>
          <w:sz w:val="18"/>
        </w:rPr>
        <w:t>NOT_ASSESSED</w:t>
      </w:r>
      <w:r>
        <w:t xml:space="preserve"> ne doit pas être remplacé par </w:t>
      </w:r>
      <w:r>
        <w:rPr>
          <w:rFonts w:ascii="Consolas" w:hAnsi="Consolas"/>
          <w:color w:val="404040"/>
          <w:sz w:val="18"/>
        </w:rPr>
        <w:t>UNKNOWN</w:t>
      </w:r>
      <w:r>
        <w:t xml:space="preserve"> : ces deux statuts ont des significations différentes.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8. Matrice des plateformes supportées</w:t>
      </w:r>
    </w:p>
    <w:p>
      <w:r>
        <w:rPr>
          <w:rFonts w:ascii="Consolas" w:hAnsi="Consolas"/>
          <w:color w:val="404040"/>
          <w:sz w:val="18"/>
        </w:rPr>
        <w:t>compatibility_matrix.py</w:t>
      </w:r>
      <w:r>
        <w:t xml:space="preserve"> contient la matrice locale utilisée par le toolkit pour évaluer les prérequis de plateforme de la cible, par exemple :</w:t>
      </w:r>
    </w:p>
    <w:p>
      <w:pPr>
        <w:pStyle w:val="ListBullet"/>
        <w:ind w:left="340"/>
      </w:pPr>
      <w:r>
        <w:t>Java ;</w:t>
      </w:r>
    </w:p>
    <w:p>
      <w:pPr>
        <w:pStyle w:val="ListBullet"/>
        <w:ind w:left="340"/>
      </w:pPr>
      <w:r>
        <w:t>moteurs et versions de base de données ;</w:t>
      </w:r>
    </w:p>
    <w:p>
      <w:pPr>
        <w:pStyle w:val="ListBullet"/>
        <w:ind w:left="340"/>
      </w:pPr>
      <w:r>
        <w:t>drivers JDBC lorsque référencés ;</w:t>
      </w:r>
    </w:p>
    <w:p>
      <w:pPr>
        <w:pStyle w:val="ListBullet"/>
        <w:ind w:left="340"/>
      </w:pPr>
      <w:r>
        <w:t>OS ;</w:t>
      </w:r>
    </w:p>
    <w:p>
      <w:pPr>
        <w:pStyle w:val="ListBullet"/>
        <w:ind w:left="340"/>
      </w:pPr>
      <w:r>
        <w:t>infrastructure.</w:t>
      </w:r>
    </w:p>
    <w:p>
      <w:r>
        <w:t>La version exacte de Jira est ramenée à sa famille lorsque nécessaire. Exemple :</w:t>
      </w:r>
    </w:p>
    <w:p>
      <w:pPr>
        <w:pStyle w:val="CodeBlock"/>
        <w:shd w:fill="F2F2F2"/>
      </w:pPr>
      <w:r>
        <w:t>11.3.11 -&gt; famille 11.3</w:t>
      </w:r>
    </w:p>
    <w:p>
      <w:r>
        <w:t>Statuts de la matrice :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SUPPORTED</w:t>
      </w:r>
      <w:r>
        <w:t xml:space="preserve"> → </w:t>
      </w:r>
      <w:r>
        <w:rPr>
          <w:rFonts w:ascii="Consolas" w:hAnsi="Consolas"/>
          <w:color w:val="404040"/>
          <w:sz w:val="18"/>
        </w:rPr>
        <w:t>PASS</w:t>
      </w:r>
      <w:r>
        <w:t xml:space="preserve"> ;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TESTED</w:t>
      </w:r>
      <w:r>
        <w:t xml:space="preserve"> → </w:t>
      </w:r>
      <w:r>
        <w:rPr>
          <w:rFonts w:ascii="Consolas" w:hAnsi="Consolas"/>
          <w:color w:val="404040"/>
          <w:sz w:val="18"/>
        </w:rPr>
        <w:t>PASS</w:t>
      </w:r>
      <w:r>
        <w:t xml:space="preserve"> ;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DEPRECATED</w:t>
      </w:r>
      <w:r>
        <w:t xml:space="preserve"> → </w:t>
      </w:r>
      <w:r>
        <w:rPr>
          <w:rFonts w:ascii="Consolas" w:hAnsi="Consolas"/>
          <w:color w:val="404040"/>
          <w:sz w:val="18"/>
        </w:rPr>
        <w:t>WARNING</w:t>
      </w:r>
      <w:r>
        <w:t xml:space="preserve"> ;</w:t>
      </w:r>
    </w:p>
    <w:p>
      <w:pPr>
        <w:pStyle w:val="ListBullet"/>
        <w:ind w:left="340"/>
      </w:pPr>
      <w:r>
        <w:rPr>
          <w:rFonts w:ascii="Consolas" w:hAnsi="Consolas"/>
          <w:color w:val="404040"/>
          <w:sz w:val="18"/>
        </w:rPr>
        <w:t>UNSUPPORTED</w:t>
      </w:r>
      <w:r>
        <w:t xml:space="preserve"> → </w:t>
      </w:r>
      <w:r>
        <w:rPr>
          <w:rFonts w:ascii="Consolas" w:hAnsi="Consolas"/>
          <w:color w:val="404040"/>
          <w:sz w:val="18"/>
        </w:rPr>
        <w:t>FAIL</w:t>
      </w:r>
      <w:r>
        <w:t>.</w:t>
      </w:r>
    </w:p>
    <w:p>
      <w:r>
        <w:t xml:space="preserve">Cette matrice est une donnée de référence </w:t>
      </w:r>
      <w:r>
        <w:rPr>
          <w:b/>
        </w:rPr>
        <w:t>versionnée dans le code</w:t>
      </w:r>
      <w:r>
        <w:t>. Elle doit être revue lorsque la cible Jira change ou lorsque la documentation Atlassian évolue.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9. Compatibilité des applications</w:t>
      </w:r>
    </w:p>
    <w:p>
      <w:pPr>
        <w:pStyle w:val="Heading2"/>
      </w:pPr>
      <w:r>
        <w:t>9.1 Apps Marketplace classiques</w:t>
      </w:r>
    </w:p>
    <w:p>
      <w:r>
        <w:t xml:space="preserve">Pour les apps non bundlées, </w:t>
      </w:r>
      <w:r>
        <w:rPr>
          <w:rFonts w:ascii="Consolas" w:hAnsi="Consolas"/>
          <w:color w:val="404040"/>
          <w:sz w:val="18"/>
        </w:rPr>
        <w:t>app_compatibility.py</w:t>
      </w:r>
      <w:r>
        <w:t xml:space="preserve"> :</w:t>
      </w:r>
    </w:p>
    <w:p>
      <w:pPr>
        <w:ind w:left="113" w:hanging="113"/>
      </w:pPr>
      <w:r>
        <w:t>1. récupère le build Marketplace correspondant à Jira source ;</w:t>
      </w:r>
    </w:p>
    <w:p>
      <w:pPr>
        <w:ind w:left="113" w:hanging="113"/>
      </w:pPr>
      <w:r>
        <w:t>2. récupère le build Marketplace correspondant à Jira cible ;</w:t>
      </w:r>
    </w:p>
    <w:p>
      <w:pPr>
        <w:ind w:left="113" w:hanging="113"/>
      </w:pPr>
      <w:r>
        <w:t>3. récupère toutes les versions Data Center de l’app avec pagination ;</w:t>
      </w:r>
    </w:p>
    <w:p>
      <w:pPr>
        <w:ind w:left="113" w:hanging="113"/>
      </w:pPr>
      <w:r>
        <w:t xml:space="preserve">4. compare les plages </w:t>
      </w:r>
      <w:r>
        <w:rPr>
          <w:rFonts w:ascii="Consolas" w:hAnsi="Consolas"/>
          <w:color w:val="404040"/>
          <w:sz w:val="18"/>
        </w:rPr>
        <w:t>minBuildNumber</w:t>
      </w:r>
      <w:r>
        <w:t xml:space="preserve"> / </w:t>
      </w:r>
      <w:r>
        <w:rPr>
          <w:rFonts w:ascii="Consolas" w:hAnsi="Consolas"/>
          <w:color w:val="404040"/>
          <w:sz w:val="18"/>
        </w:rPr>
        <w:t>maxBuildNumber</w:t>
      </w:r>
      <w:r>
        <w:t xml:space="preserve"> ;</w:t>
      </w:r>
    </w:p>
    <w:p>
      <w:pPr>
        <w:ind w:left="113" w:hanging="113"/>
      </w:pPr>
      <w:r>
        <w:t>5. identifie :</w:t>
      </w:r>
    </w:p>
    <w:p>
      <w:pPr>
        <w:pStyle w:val="ListBullet"/>
        <w:ind w:left="340"/>
      </w:pPr>
      <w:r>
        <w:t>la version actuelle ;</w:t>
      </w:r>
    </w:p>
    <w:p>
      <w:pPr>
        <w:pStyle w:val="ListBullet"/>
        <w:ind w:left="340"/>
      </w:pPr>
      <w:r>
        <w:t>la dernière version compatible source ;</w:t>
      </w:r>
    </w:p>
    <w:p>
      <w:pPr>
        <w:pStyle w:val="ListBullet"/>
        <w:ind w:left="340"/>
      </w:pPr>
      <w:r>
        <w:t xml:space="preserve">une éventuelle </w:t>
      </w:r>
      <w:r>
        <w:rPr>
          <w:b/>
        </w:rPr>
        <w:t>Bridge Version</w:t>
      </w:r>
      <w:r>
        <w:t xml:space="preserve"> compatible source + cible ;</w:t>
      </w:r>
    </w:p>
    <w:p>
      <w:pPr>
        <w:pStyle w:val="ListBullet"/>
        <w:ind w:left="340"/>
      </w:pPr>
      <w:r>
        <w:t xml:space="preserve">une éventuelle </w:t>
      </w:r>
      <w:r>
        <w:rPr>
          <w:b/>
        </w:rPr>
        <w:t>Target-only Version</w:t>
      </w:r>
      <w:r>
        <w:t xml:space="preserve"> compatible uniquement avec la cible ;</w:t>
      </w:r>
    </w:p>
    <w:p>
      <w:pPr>
        <w:ind w:left="113" w:hanging="113"/>
      </w:pPr>
      <w:r>
        <w:t>6. détermine une stratégie.</w:t>
      </w:r>
    </w:p>
    <w:p>
      <w:r>
        <w:t xml:space="preserve">La </w:t>
      </w:r>
      <w:r>
        <w:rPr>
          <w:rFonts w:ascii="Consolas" w:hAnsi="Consolas"/>
          <w:color w:val="404040"/>
          <w:sz w:val="18"/>
        </w:rPr>
        <w:t>Latest Source-Compatible Version</w:t>
      </w:r>
      <w:r>
        <w:t xml:space="preserve"> est informative : elle ne signifie pas qu’il faut obligatoirement mettre l’app à jour vers cette version avant l’upgrade.</w:t>
      </w:r>
    </w:p>
    <w:p>
      <w:pPr>
        <w:pStyle w:val="Heading2"/>
      </w:pPr>
      <w:r>
        <w:t>9.2 Stratégies possibles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51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Signification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KEEP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La version actuelle est compatible source et cible ; elle traverse l’upgrade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PRE_UPGRADE_BRIDGE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Installer la version pont avant Jira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PRE_UPGRADE_BRIDGE_THEN_POST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Installer une version pont avant Jira, puis éventuellement une version cible après validation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DISABLE_THEN_POST_UPGRADE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Pas de pont : désactiver avant Jira, upgrader Jira, installer la version cible, réactiver et tester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MANUAL_REVIEW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Le moteur ne peut pas conclure automatiquement</w:t>
            </w:r>
          </w:p>
        </w:tc>
      </w:tr>
      <w:tr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NO_TARGET_VERSION</w:t>
            </w:r>
          </w:p>
        </w:tc>
        <w:tc>
          <w:tcPr>
            <w:tcW w:type="dxa" w:w="51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Aucune version cible supportée n’a été identifiée ; blocage à traiter</w:t>
            </w:r>
          </w:p>
        </w:tc>
      </w:tr>
      <w:tr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BUNDLED_WITH_JIRA</w:t>
            </w:r>
          </w:p>
        </w:tc>
        <w:tc>
          <w:tcPr>
            <w:tcW w:type="dxa" w:w="51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Le composant est fourni avec Jira cible ; pas de version pont séparée à gérer</w:t>
            </w:r>
          </w:p>
        </w:tc>
      </w:tr>
    </w:tbl>
    <w:p/>
    <w:p>
      <w:pPr>
        <w:pStyle w:val="Heading2"/>
      </w:pPr>
      <w:r>
        <w:t>9.3 Applications Atlassian bundlées</w:t>
      </w:r>
    </w:p>
    <w:p>
      <w:r>
        <w:t>Les plugin keys actuellement traitées par politique spéciale sont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34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Management Mode</w:t>
            </w:r>
          </w:p>
        </w:tc>
        <w:tc>
          <w:tcPr>
            <w:tcW w:type="dxa" w:w="340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Readiness d’upgrade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Automation for Jira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BUNDLED_WITH_JIRA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PASS</w:t>
            </w:r>
          </w:p>
        </w:tc>
      </w:tr>
      <w:tr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Authentication / SSO Data Center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BUNDLED_UPDATABLE</w:t>
            </w:r>
          </w:p>
        </w:tc>
        <w:tc>
          <w:tcPr>
            <w:tcW w:type="dxa" w:w="340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PASS</w:t>
            </w:r>
          </w:p>
        </w:tc>
      </w:tr>
      <w:tr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Jira Cloud Migration Assistant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BUNDLED_UPDATABLE</w:t>
            </w:r>
          </w:p>
        </w:tc>
        <w:tc>
          <w:tcPr>
            <w:tcW w:type="dxa" w:w="340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PASS</w:t>
            </w:r>
          </w:p>
        </w:tc>
      </w:tr>
    </w:tbl>
    <w:p/>
    <w:p>
      <w:r>
        <w:t xml:space="preserve">Pour ces composants, </w:t>
      </w:r>
      <w:r>
        <w:rPr>
          <w:rFonts w:ascii="Consolas" w:hAnsi="Consolas"/>
          <w:color w:val="404040"/>
          <w:sz w:val="18"/>
        </w:rPr>
        <w:t>PASS</w:t>
      </w:r>
      <w:r>
        <w:t xml:space="preserve"> signifie : </w:t>
      </w:r>
      <w:r>
        <w:rPr>
          <w:b/>
        </w:rPr>
        <w:t>aucune action de compatibilité séparée n’est requise pour faire l’upgrade Jira</w:t>
      </w:r>
      <w:r>
        <w:t>.</w:t>
      </w:r>
    </w:p>
    <w:p>
      <w:r>
        <w:t>Cela ne supprime pas les validations POST :</w:t>
      </w:r>
    </w:p>
    <w:p>
      <w:pPr>
        <w:pStyle w:val="ListBullet"/>
        <w:ind w:left="340"/>
      </w:pPr>
      <w:r>
        <w:t>Automation : vérifier les règles critiques ;</w:t>
      </w:r>
    </w:p>
    <w:p>
      <w:pPr>
        <w:pStyle w:val="ListBullet"/>
        <w:ind w:left="340"/>
      </w:pPr>
      <w:r>
        <w:t>SSO : tester la connexion, l’authentification de secours et les scénarios prévus ;</w:t>
      </w:r>
    </w:p>
    <w:p>
      <w:pPr>
        <w:pStyle w:val="ListBullet"/>
        <w:ind w:left="340"/>
      </w:pPr>
      <w:r>
        <w:t>JCMA : vérifier ensuite la version utile à la préparation de la migration Cloud.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10. Utilisation des API Marketplace</w:t>
      </w:r>
    </w:p>
    <w:p>
      <w:r>
        <w:t>Deux usages sont volontairement séparés :</w:t>
      </w:r>
    </w:p>
    <w:p>
      <w:pPr>
        <w:pStyle w:val="Heading2"/>
      </w:pPr>
      <w:r>
        <w:t>API v3 authentifiée</w:t>
      </w:r>
    </w:p>
    <w:p>
      <w:r>
        <w:t>Utilisée pour le calcul de compatibilité :</w:t>
      </w:r>
    </w:p>
    <w:p>
      <w:pPr>
        <w:pStyle w:val="CodeBlock"/>
        <w:shd w:fill="F2F2F2"/>
      </w:pPr>
      <w:r>
        <w:t>https://api.atlassian.com/marketplace/rest/3</w:t>
      </w:r>
    </w:p>
    <w:p>
      <w:r>
        <w:t>Les identifiants peuvent être fournis via :</w:t>
      </w:r>
    </w:p>
    <w:p>
      <w:pPr>
        <w:pStyle w:val="CodeBlock"/>
        <w:shd w:fill="F2F2F2"/>
      </w:pPr>
      <w:r>
        <w:t>MARKETPLACE_EMAIL</w:t>
        <w:br/>
        <w:t>MARKETPLACE_API_TOKEN</w:t>
      </w:r>
    </w:p>
    <w:p>
      <w:r>
        <w:t>avec fallback dans le code sur :</w:t>
      </w:r>
    </w:p>
    <w:p>
      <w:pPr>
        <w:pStyle w:val="CodeBlock"/>
        <w:shd w:fill="F2F2F2"/>
      </w:pPr>
      <w:r>
        <w:t>JIRA_EMAIL</w:t>
        <w:br/>
        <w:t>JIRA_API_TOKEN</w:t>
      </w:r>
    </w:p>
    <w:p>
      <w:r>
        <w:t>Il est préférable d’utiliser des identifiants Marketplace dédiés lorsque les identifiants Jira Data Center ne sont pas ceux d’un compte Atlassian utilisable avec l’API Marketplace.</w:t>
      </w:r>
    </w:p>
    <w:p>
      <w:pPr>
        <w:pStyle w:val="Heading2"/>
      </w:pPr>
      <w:r>
        <w:t>Liens publics</w:t>
      </w:r>
    </w:p>
    <w:p>
      <w:r>
        <w:t>Le calcul reste fait avec l’API authentifiée, mais les liens affichés dans Excel sont construits à partir des ressources Marketplace publiques afin qu’un clic depuis Excel n’ouvre pas une URL REST nécessitant un header d’authentification.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11. Résilience HTTP</w:t>
      </w:r>
    </w:p>
    <w:p>
      <w:r>
        <w:t>Le projet gère les principaux cas transitoires :</w:t>
      </w:r>
    </w:p>
    <w:p>
      <w:pPr>
        <w:pStyle w:val="ListBullet"/>
        <w:ind w:left="340"/>
      </w:pPr>
      <w:r>
        <w:t xml:space="preserve">HTTP </w:t>
      </w:r>
      <w:r>
        <w:rPr>
          <w:rFonts w:ascii="Consolas" w:hAnsi="Consolas"/>
          <w:color w:val="404040"/>
          <w:sz w:val="18"/>
        </w:rPr>
        <w:t>429</w:t>
      </w:r>
      <w:r>
        <w:t xml:space="preserve"> avec prise en compte de </w:t>
      </w:r>
      <w:r>
        <w:rPr>
          <w:rFonts w:ascii="Consolas" w:hAnsi="Consolas"/>
          <w:color w:val="404040"/>
          <w:sz w:val="18"/>
        </w:rPr>
        <w:t>Retry-After</w:t>
      </w:r>
      <w:r>
        <w:t xml:space="preserve"> ;</w:t>
      </w:r>
    </w:p>
    <w:p>
      <w:pPr>
        <w:pStyle w:val="ListBullet"/>
        <w:ind w:left="340"/>
      </w:pPr>
      <w:r>
        <w:t>retry/backoff ;</w:t>
      </w:r>
    </w:p>
    <w:p>
      <w:pPr>
        <w:pStyle w:val="ListBullet"/>
        <w:ind w:left="340"/>
      </w:pPr>
      <w:r>
        <w:t xml:space="preserve">erreurs serveur </w:t>
      </w:r>
      <w:r>
        <w:rPr>
          <w:rFonts w:ascii="Consolas" w:hAnsi="Consolas"/>
          <w:color w:val="404040"/>
          <w:sz w:val="18"/>
        </w:rPr>
        <w:t>5xx</w:t>
      </w:r>
      <w:r>
        <w:t xml:space="preserve"> ;</w:t>
      </w:r>
    </w:p>
    <w:p>
      <w:pPr>
        <w:pStyle w:val="ListBullet"/>
        <w:ind w:left="340"/>
      </w:pPr>
      <w:r>
        <w:t>erreurs réseau ;</w:t>
      </w:r>
    </w:p>
    <w:p>
      <w:pPr>
        <w:pStyle w:val="ListBullet"/>
        <w:ind w:left="340"/>
      </w:pPr>
      <w:r>
        <w:t>pagination Marketplace par curseur.</w:t>
      </w:r>
    </w:p>
    <w:p>
      <w:r>
        <w:t xml:space="preserve">Les statistiques du </w:t>
      </w:r>
      <w:r>
        <w:rPr>
          <w:rFonts w:ascii="Consolas" w:hAnsi="Consolas"/>
          <w:color w:val="404040"/>
          <w:sz w:val="18"/>
        </w:rPr>
        <w:t>JiraApiClient</w:t>
      </w:r>
      <w:r>
        <w:t xml:space="preserve"> affichées en fin d’exécution concernent les appels effectués via ce client. Les appels Marketplace utilisent leur propre mécanisme.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12. Structure du rapport Excel</w:t>
      </w:r>
    </w:p>
    <w:p>
      <w:r>
        <w:t>Selon le mode, le rapport peut contenir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Onglet</w:t>
            </w:r>
          </w:p>
        </w:tc>
        <w:tc>
          <w:tcPr>
            <w:tcW w:type="dxa" w:w="255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255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POST</w:t>
            </w:r>
          </w:p>
        </w:tc>
        <w:tc>
          <w:tcPr>
            <w:tcW w:type="dxa" w:w="2550"/>
            <w:vAlign w:val="top"/>
            <w:shd w:fill="1F4E78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COMPARE</w:t>
            </w:r>
          </w:p>
        </w:tc>
      </w:tr>
      <w:tr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Summary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</w:tr>
      <w:tr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Baseline</w:t>
            </w:r>
          </w:p>
        </w:tc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Oui, état POST</w:t>
            </w:r>
          </w:p>
        </w:tc>
      </w:tr>
      <w:tr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Findings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Oui, état POST</w:t>
            </w:r>
          </w:p>
        </w:tc>
      </w:tr>
      <w:tr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Readiness</w:t>
            </w:r>
          </w:p>
        </w:tc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Oui, état POST</w:t>
            </w:r>
          </w:p>
        </w:tc>
      </w:tr>
      <w:tr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App Compatibility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</w:t>
            </w:r>
          </w:p>
        </w:tc>
      </w:tr>
      <w:tr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Supported Platforms</w:t>
            </w:r>
          </w:p>
        </w:tc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  <w:tc>
          <w:tcPr>
            <w:tcW w:type="dxa" w:w="2550"/>
            <w:vAlign w:val="top"/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</w:tr>
      <w:tr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rPr>
                <w:rFonts w:ascii="Consolas" w:hAnsi="Consolas"/>
                <w:color w:val="404040"/>
                <w:sz w:val="18"/>
              </w:rPr>
              <w:t>PRE_POST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Non</w:t>
            </w:r>
          </w:p>
        </w:tc>
        <w:tc>
          <w:tcPr>
            <w:tcW w:type="dxa" w:w="2550"/>
            <w:vAlign w:val="top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r/>
            <w:r>
              <w:t>Oui</w:t>
            </w:r>
          </w:p>
        </w:tc>
      </w:tr>
    </w:tbl>
    <w:p/>
    <w:p>
      <w:pPr>
        <w:pBdr>
          <w:bottom w:val="single" w:sz="6" w:color="D9E1F2"/>
        </w:pBdr>
      </w:pPr>
    </w:p>
    <w:p>
      <w:pPr>
        <w:pStyle w:val="Heading1"/>
      </w:pPr>
      <w:r>
        <w:t>13. Sécurité et secrets</w:t>
      </w:r>
    </w:p>
    <w:p>
      <w:r>
        <w:t>Règles de conception :</w:t>
      </w:r>
    </w:p>
    <w:p>
      <w:pPr>
        <w:pStyle w:val="ListBullet"/>
        <w:ind w:left="340"/>
      </w:pPr>
      <w:r>
        <w:t>ne jamais écrire les tokens dans les rapports ;</w:t>
      </w:r>
    </w:p>
    <w:p>
      <w:pPr>
        <w:pStyle w:val="ListBullet"/>
        <w:ind w:left="340"/>
      </w:pPr>
      <w:r>
        <w:t>ne jamais retourner le mot de passe de base de données dans la baseline ;</w:t>
      </w:r>
    </w:p>
    <w:p>
      <w:pPr>
        <w:pStyle w:val="ListBullet"/>
        <w:ind w:left="340"/>
      </w:pPr>
      <w:r>
        <w:t xml:space="preserve">conserver </w:t>
      </w:r>
      <w:r>
        <w:rPr>
          <w:rFonts w:ascii="Consolas" w:hAnsi="Consolas"/>
          <w:color w:val="404040"/>
          <w:sz w:val="18"/>
        </w:rPr>
        <w:t>.env</w:t>
      </w:r>
      <w:r>
        <w:t xml:space="preserve"> hors Git ;</w:t>
      </w:r>
    </w:p>
    <w:p>
      <w:pPr>
        <w:pStyle w:val="ListBullet"/>
        <w:ind w:left="340"/>
      </w:pPr>
      <w:r>
        <w:t>ne pas versionner les fichiers de sortie contenant des informations d’environnement sans validation préalable ;</w:t>
      </w:r>
    </w:p>
    <w:p>
      <w:pPr>
        <w:pStyle w:val="ListBullet"/>
        <w:ind w:left="340"/>
      </w:pPr>
      <w:r>
        <w:t>limiter l’accès au endpoint ScriptRunner aux administrateurs Jira ;</w:t>
      </w:r>
    </w:p>
    <w:p>
      <w:pPr>
        <w:pStyle w:val="ListBullet"/>
        <w:ind w:left="340"/>
      </w:pPr>
      <w:r>
        <w:t>utiliser des comptes avec le minimum de droits nécessaire.</w:t>
      </w:r>
    </w:p>
    <w:p>
      <w:r>
        <w:t xml:space="preserve">Pour le futur dépôt Git, </w:t>
      </w:r>
      <w:r>
        <w:rPr>
          <w:rFonts w:ascii="Consolas" w:hAnsi="Consolas"/>
          <w:color w:val="404040"/>
          <w:sz w:val="18"/>
        </w:rPr>
        <w:t>.gitignore</w:t>
      </w:r>
      <w:r>
        <w:t xml:space="preserve"> devra au minimum exclure :</w:t>
      </w:r>
    </w:p>
    <w:p>
      <w:pPr>
        <w:pStyle w:val="CodeBlock"/>
        <w:shd w:fill="F2F2F2"/>
      </w:pPr>
      <w:r>
        <w:t>.env</w:t>
        <w:br/>
        <w:t>__pycache__/</w:t>
        <w:br/>
        <w:t>*.pyc</w:t>
        <w:br/>
        <w:t>output/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14. Points d’extension</w:t>
      </w:r>
    </w:p>
    <w:p>
      <w:r>
        <w:t>L’architecture permet d’ajouter :</w:t>
      </w:r>
    </w:p>
    <w:p>
      <w:pPr>
        <w:pStyle w:val="ListBullet"/>
        <w:ind w:left="340"/>
      </w:pPr>
      <w:r>
        <w:t>de nouvelles propriétés à l’endpoint Groovy sans casser les anciens chemins grâce aux fonctions de fallback du Readiness ;</w:t>
      </w:r>
    </w:p>
    <w:p>
      <w:pPr>
        <w:pStyle w:val="ListBullet"/>
        <w:ind w:left="340"/>
      </w:pPr>
      <w:r>
        <w:t xml:space="preserve">de nouvelles lignes dans </w:t>
      </w:r>
      <w:r>
        <w:rPr>
          <w:rFonts w:ascii="Consolas" w:hAnsi="Consolas"/>
          <w:color w:val="404040"/>
          <w:sz w:val="18"/>
        </w:rPr>
        <w:t>compatibility_matrix.py</w:t>
      </w:r>
      <w:r>
        <w:t xml:space="preserve"> ;</w:t>
      </w:r>
    </w:p>
    <w:p>
      <w:pPr>
        <w:pStyle w:val="ListBullet"/>
        <w:ind w:left="340"/>
      </w:pPr>
      <w:r>
        <w:t>de nouvelles politiques d’apps bundlées par plugin key ;</w:t>
      </w:r>
    </w:p>
    <w:p>
      <w:pPr>
        <w:pStyle w:val="ListBullet"/>
        <w:ind w:left="340"/>
      </w:pPr>
      <w:r>
        <w:t>de nouveaux domaines Readiness ;</w:t>
      </w:r>
    </w:p>
    <w:p>
      <w:pPr>
        <w:pStyle w:val="ListBullet"/>
        <w:ind w:left="340"/>
      </w:pPr>
      <w:r>
        <w:t>de nouveaux comparateurs PRE/POST ;</w:t>
      </w:r>
    </w:p>
    <w:p>
      <w:pPr>
        <w:pStyle w:val="ListBullet"/>
        <w:ind w:left="340"/>
      </w:pPr>
      <w:r>
        <w:t>des exports complémentaires sans modifier la collecte source.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15. Limites actuelles</w:t>
      </w:r>
    </w:p>
    <w:p>
      <w:pPr>
        <w:pStyle w:val="ListBullet"/>
        <w:ind w:left="340"/>
      </w:pPr>
      <w:r>
        <w:t xml:space="preserve">La matrice </w:t>
      </w:r>
      <w:r>
        <w:rPr>
          <w:rFonts w:ascii="Consolas" w:hAnsi="Consolas"/>
          <w:color w:val="404040"/>
          <w:sz w:val="18"/>
        </w:rPr>
        <w:t>Supported Platforms</w:t>
      </w:r>
      <w:r>
        <w:t xml:space="preserve"> est locale au code : elle doit être maintenue et validée pour chaque nouvelle cible.</w:t>
      </w:r>
    </w:p>
    <w:p>
      <w:pPr>
        <w:pStyle w:val="ListBullet"/>
        <w:ind w:left="340"/>
      </w:pPr>
      <w:r>
        <w:t xml:space="preserve">Certaines informations techniques restent </w:t>
      </w:r>
      <w:r>
        <w:rPr>
          <w:rFonts w:ascii="Consolas" w:hAnsi="Consolas"/>
          <w:color w:val="404040"/>
          <w:sz w:val="18"/>
        </w:rPr>
        <w:t>UNKNOWN</w:t>
      </w:r>
      <w:r>
        <w:t xml:space="preserve"> tant qu’elles ne sont pas exposées par l’endpoint ou confirmées manuellement.</w:t>
      </w:r>
    </w:p>
    <w:p>
      <w:pPr>
        <w:pStyle w:val="ListBullet"/>
        <w:ind w:left="340"/>
      </w:pPr>
      <w:r>
        <w:t xml:space="preserve">Le mode POST ne réexécute pas </w:t>
      </w:r>
      <w:r>
        <w:rPr>
          <w:rFonts w:ascii="Consolas" w:hAnsi="Consolas"/>
          <w:color w:val="404040"/>
          <w:sz w:val="18"/>
        </w:rPr>
        <w:t>App Compatibility</w:t>
      </w:r>
      <w:r>
        <w:t>.</w:t>
      </w:r>
    </w:p>
    <w:p>
      <w:pPr>
        <w:pStyle w:val="ListBullet"/>
        <w:ind w:left="340"/>
      </w:pPr>
      <w:r>
        <w:t>Le mode COMPARE ne reprend pas les décisions manuelles saisies dans l’Excel PRE.</w:t>
      </w:r>
    </w:p>
    <w:p>
      <w:pPr>
        <w:pStyle w:val="ListBullet"/>
        <w:ind w:left="340"/>
      </w:pPr>
      <w:r>
        <w:t>Le toolkit prépare et contrôle l’upgrade ; il n’exécute pas l’upgrade Jira lui-même.</w:t>
      </w:r>
    </w:p>
    <w:p>
      <w:pPr>
        <w:pBdr>
          <w:bottom w:val="single" w:sz="6" w:color="D9E1F2"/>
        </w:pBdr>
      </w:pPr>
    </w:p>
    <w:p>
      <w:pPr>
        <w:pStyle w:val="Heading1"/>
      </w:pPr>
      <w:r>
        <w:t>16. Cycle d’utilisation recommandé</w:t>
      </w:r>
    </w:p>
    <w:p>
      <w:pPr>
        <w:pStyle w:val="CodeBlock"/>
        <w:shd w:fill="F2F2F2"/>
      </w:pPr>
      <w:r>
        <w:t>1. Déployer / vérifier l’endpoint ScriptRunner</w:t>
        <w:br/>
        <w:t>2. Configurer .env</w:t>
        <w:br/>
        <w:t>3. Exécuter PRE</w:t>
        <w:br/>
        <w:t>4. Choisir le fichier Excel PRE de référence</w:t>
        <w:br/>
        <w:t>5. Compléter le Readiness manuel</w:t>
        <w:br/>
        <w:t>6. Traiter FAIL / WARNING / NOT_ASSESSED</w:t>
        <w:br/>
        <w:t>7. Réaliser l’upgrade selon le runbook</w:t>
        <w:br/>
        <w:t>8. Exécuter POST</w:t>
        <w:br/>
        <w:t>9. Exécuter COMPARE</w:t>
        <w:br/>
        <w:t>10. Réaliser les tests fonctionnels POST</w:t>
        <w:br/>
        <w:t>11. Statuer Go / No-Go / clôture</w:t>
      </w:r>
    </w:p>
    <w:p/>
    <w:p>
      <w:pPr>
        <w:shd w:fill="F2F2F2"/>
      </w:pPr>
      <w:r>
        <w:rPr>
          <w:color w:val="666666"/>
          <w:sz w:val="17"/>
        </w:rPr>
        <w:t>Document JiraUpgradeBaselineToolkit - version 0.2 - 16 septembre 2026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