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JiraUpgradeBaselineToolkit</w:t>
      </w:r>
    </w:p>
    <w:p>
      <w:pPr>
        <w:spacing w:after="200"/>
      </w:pPr>
      <w:r>
        <w:rPr>
          <w:color w:val="595959"/>
          <w:sz w:val="22"/>
        </w:rPr>
        <w:t>Guide utilisateur - lecture du rapport Excel et complétion du Readiness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rPr>
                <w:b/>
              </w:rPr>
              <w:t>Version documentaire</w:t>
            </w:r>
          </w:p>
        </w:tc>
        <w:tc>
          <w:tcPr>
            <w:tcW w:type="dxa" w:w="5100"/>
          </w:tcPr>
          <w:p>
            <w:r>
              <w:t>0.2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00"/>
          </w:tcPr>
          <w:p>
            <w:r>
              <w:t>16 septembre 2026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Périmètre</w:t>
            </w:r>
          </w:p>
        </w:tc>
        <w:tc>
          <w:tcPr>
            <w:tcW w:type="dxa" w:w="5100"/>
          </w:tcPr>
          <w:p>
            <w:r>
              <w:t>Jira Data Center - préparation, contrôle et traçabilité d’une montée de version</w:t>
            </w:r>
          </w:p>
        </w:tc>
      </w:tr>
    </w:tbl>
    <w:p/>
    <w:p>
      <w:pPr>
        <w:pStyle w:val="Heading2"/>
      </w:pPr>
      <w:r>
        <w:t>Historique des versions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Évolution</w:t>
            </w:r>
          </w:p>
        </w:tc>
      </w:tr>
      <w:tr>
        <w:tc>
          <w:tcPr>
            <w:tcW w:type="dxa" w:w="3400"/>
          </w:tcPr>
          <w:p>
            <w:r>
              <w:t>0.1</w:t>
            </w:r>
          </w:p>
        </w:tc>
        <w:tc>
          <w:tcPr>
            <w:tcW w:type="dxa" w:w="3400"/>
          </w:tcPr>
          <w:p>
            <w:r>
              <w:t>—</w:t>
            </w:r>
          </w:p>
        </w:tc>
        <w:tc>
          <w:tcPr>
            <w:tcW w:type="dxa" w:w="3400"/>
          </w:tcPr>
          <w:p>
            <w:r>
              <w:t>Version initiale du document.</w:t>
            </w:r>
          </w:p>
        </w:tc>
      </w:tr>
      <w:tr>
        <w:tc>
          <w:tcPr>
            <w:tcW w:type="dxa" w:w="3400"/>
          </w:tcPr>
          <w:p>
            <w:r>
              <w:t>0.2</w:t>
            </w:r>
          </w:p>
        </w:tc>
        <w:tc>
          <w:tcPr>
            <w:tcW w:type="dxa" w:w="3400"/>
          </w:tcPr>
          <w:p>
            <w:r>
              <w:t>16/09/2026</w:t>
            </w:r>
          </w:p>
        </w:tc>
        <w:tc>
          <w:tcPr>
            <w:tcW w:type="dxa" w:w="3400"/>
          </w:tcPr>
          <w:p>
            <w:r>
              <w:t>Mise à jour du toolkit : App Compatibility, apps Atlassian bundlées, stratégies bridge/target-only, liens Marketplace publics, Supported Platforms et règles détaillées de saisie Readiness.</w:t>
            </w:r>
          </w:p>
        </w:tc>
      </w:tr>
    </w:tbl>
    <w:p/>
    <w:p>
      <w:pPr>
        <w:pStyle w:val="Heading1"/>
      </w:pPr>
      <w:r>
        <w:t>1. À quoi sert ce guide ?</w:t>
      </w:r>
    </w:p>
    <w:p>
      <w:r>
        <w:t>Ce guide explique :</w:t>
      </w:r>
    </w:p>
    <w:p>
      <w:pPr>
        <w:pStyle w:val="ListBullet"/>
        <w:ind w:left="340"/>
      </w:pPr>
      <w:r>
        <w:t>comment lancer les modes PRE, POST et COMPARE ;</w:t>
      </w:r>
    </w:p>
    <w:p>
      <w:pPr>
        <w:pStyle w:val="ListBullet"/>
        <w:ind w:left="340"/>
      </w:pPr>
      <w:r>
        <w:t>comment lire chaque onglet Excel ;</w:t>
      </w:r>
    </w:p>
    <w:p>
      <w:pPr>
        <w:pStyle w:val="ListBullet"/>
        <w:ind w:left="340"/>
      </w:pPr>
      <w:r>
        <w:t>quelles cellules sont automatiques ;</w:t>
      </w:r>
    </w:p>
    <w:p>
      <w:pPr>
        <w:pStyle w:val="ListBullet"/>
        <w:ind w:left="340"/>
      </w:pPr>
      <w:r>
        <w:t>quelles informations doivent être complétées manuellement ;</w:t>
      </w:r>
    </w:p>
    <w:p>
      <w:pPr>
        <w:pStyle w:val="ListBullet"/>
        <w:ind w:left="340"/>
      </w:pPr>
      <w:r>
        <w:t>comment interpréter les statuts ;</w:t>
      </w:r>
    </w:p>
    <w:p>
      <w:pPr>
        <w:pStyle w:val="ListBullet"/>
        <w:ind w:left="340"/>
      </w:pPr>
      <w:r>
        <w:t xml:space="preserve">comment utiliser l’onglet </w:t>
      </w:r>
      <w:r>
        <w:rPr>
          <w:rFonts w:ascii="Consolas" w:hAnsi="Consolas"/>
          <w:color w:val="404040"/>
          <w:sz w:val="18"/>
        </w:rPr>
        <w:t>App Compatibility</w:t>
      </w:r>
      <w:r>
        <w:t xml:space="preserve"> sans confondre app bundlée, version pont et version cible.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2. Prérequis</w:t>
      </w:r>
    </w:p>
    <w:p>
      <w:r>
        <w:t>Avant le premier lancement :</w:t>
      </w:r>
    </w:p>
    <w:p>
      <w:pPr>
        <w:pStyle w:val="ListBullet"/>
        <w:ind w:left="340"/>
      </w:pPr>
      <w:r>
        <w:t>Python installé ;</w:t>
      </w:r>
    </w:p>
    <w:p>
      <w:pPr>
        <w:pStyle w:val="ListBullet"/>
        <w:ind w:left="340"/>
      </w:pPr>
      <w:r>
        <w:t>dépendances du projet installées (</w:t>
      </w:r>
      <w:r>
        <w:rPr>
          <w:rFonts w:ascii="Consolas" w:hAnsi="Consolas"/>
          <w:color w:val="404040"/>
          <w:sz w:val="18"/>
        </w:rPr>
        <w:t>requests</w:t>
      </w:r>
      <w:r>
        <w:t xml:space="preserve">, </w:t>
      </w:r>
      <w:r>
        <w:rPr>
          <w:rFonts w:ascii="Consolas" w:hAnsi="Consolas"/>
          <w:color w:val="404040"/>
          <w:sz w:val="18"/>
        </w:rPr>
        <w:t>python-dotenv</w:t>
      </w:r>
      <w:r>
        <w:t xml:space="preserve">, </w:t>
      </w:r>
      <w:r>
        <w:rPr>
          <w:rFonts w:ascii="Consolas" w:hAnsi="Consolas"/>
          <w:color w:val="404040"/>
          <w:sz w:val="18"/>
        </w:rPr>
        <w:t>openpyxl</w:t>
      </w:r>
      <w:r>
        <w:t>, plus les dépendances présentes dans le dépôt) ;</w:t>
      </w:r>
    </w:p>
    <w:p>
      <w:pPr>
        <w:pStyle w:val="ListBullet"/>
        <w:ind w:left="340"/>
      </w:pPr>
      <w:r>
        <w:t>Jira Data Center accessible depuis la machine qui exécute le script ;</w:t>
      </w:r>
    </w:p>
    <w:p>
      <w:pPr>
        <w:pStyle w:val="ListBullet"/>
        <w:ind w:left="340"/>
      </w:pPr>
      <w:r>
        <w:t>ScriptRunner installé sur l’instance à analyser ;</w:t>
      </w:r>
    </w:p>
    <w:p>
      <w:pPr>
        <w:pStyle w:val="ListBullet"/>
        <w:ind w:left="340"/>
      </w:pPr>
      <w:r>
        <w:t xml:space="preserve">endpoint </w:t>
      </w:r>
      <w:r>
        <w:rPr>
          <w:rFonts w:ascii="Consolas" w:hAnsi="Consolas"/>
          <w:color w:val="404040"/>
          <w:sz w:val="18"/>
        </w:rPr>
        <w:t>upgradeBaseline</w:t>
      </w:r>
      <w:r>
        <w:t xml:space="preserve"> déployé et accessible ;</w:t>
      </w:r>
    </w:p>
    <w:p>
      <w:pPr>
        <w:pStyle w:val="ListBullet"/>
        <w:ind w:left="340"/>
      </w:pPr>
      <w:r>
        <w:t>droits Jira suffisants pour appeler l’endpoint ;</w:t>
      </w:r>
    </w:p>
    <w:p>
      <w:pPr>
        <w:pStyle w:val="ListBullet"/>
        <w:ind w:left="340"/>
      </w:pPr>
      <w:r>
        <w:t>accès Internet vers Atlassian Marketplace pour l’analyse des apps en mode PRE.</w:t>
      </w:r>
    </w:p>
    <w:p>
      <w:r>
        <w:t>L’endpoint utilisé est :</w:t>
      </w:r>
    </w:p>
    <w:p>
      <w:pPr>
        <w:pStyle w:val="CodeBlock"/>
        <w:shd w:fill="F2F2F2"/>
      </w:pPr>
      <w:r>
        <w:t>/rest/scriptrunner/latest/custom/upgradeBaseline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3. Configuration </w:t>
      </w:r>
      <w:r>
        <w:rPr>
          <w:rFonts w:ascii="Consolas" w:hAnsi="Consolas"/>
          <w:color w:val="404040"/>
          <w:sz w:val="18"/>
        </w:rPr>
        <w:t>.env</w:t>
      </w:r>
    </w:p>
    <w:p>
      <w:r>
        <w:t>La version source Jira n’est pas saisie manuellement : elle est détectée dans la baseline.</w:t>
      </w:r>
    </w:p>
    <w:p>
      <w:r>
        <w:t xml:space="preserve">La cible est configurée dans </w:t>
      </w:r>
      <w:r>
        <w:rPr>
          <w:rFonts w:ascii="Consolas" w:hAnsi="Consolas"/>
          <w:color w:val="404040"/>
          <w:sz w:val="18"/>
        </w:rPr>
        <w:t>.env</w:t>
      </w:r>
      <w:r>
        <w:t>, par exemple :</w:t>
      </w:r>
    </w:p>
    <w:p>
      <w:pPr>
        <w:pStyle w:val="CodeBlock"/>
        <w:shd w:fill="F2F2F2"/>
      </w:pPr>
      <w:r>
        <w:t>TARGET_JIRA_FAMILY=11.3</w:t>
        <w:br/>
        <w:t>TARGET_JIRA_VERSION=11.3.11</w:t>
      </w:r>
    </w:p>
    <w:p>
      <w:r>
        <w:t xml:space="preserve">Le projet utilise également les paramètres de connexion Jira définis par </w:t>
      </w:r>
      <w:r>
        <w:rPr>
          <w:rFonts w:ascii="Consolas" w:hAnsi="Consolas"/>
          <w:color w:val="404040"/>
          <w:sz w:val="18"/>
        </w:rPr>
        <w:t>config.py</w:t>
      </w:r>
      <w:r>
        <w:t>, notamment les informations nécessaires pour joindre Jira.</w:t>
      </w:r>
    </w:p>
    <w:p>
      <w:r>
        <w:t>Pour l’analyse Marketplace, le programme accepte :</w:t>
      </w:r>
    </w:p>
    <w:p>
      <w:pPr>
        <w:pStyle w:val="CodeBlock"/>
        <w:shd w:fill="F2F2F2"/>
      </w:pPr>
      <w:r>
        <w:t>MARKETPLACE_EMAIL=compte-atlassian@example.com</w:t>
        <w:br/>
        <w:t>MARKETPLACE_API_TOKEN=xxxxxxxx</w:t>
      </w:r>
    </w:p>
    <w:p>
      <w:r>
        <w:t>Si ces deux variables ne sont pas définies, le code tente d’utiliser :</w:t>
      </w:r>
    </w:p>
    <w:p>
      <w:pPr>
        <w:pStyle w:val="CodeBlock"/>
        <w:shd w:fill="F2F2F2"/>
      </w:pPr>
      <w:r>
        <w:t>JIRA_EMAIL=...</w:t>
        <w:br/>
        <w:t>JIRA_API_TOKEN=...</w:t>
      </w:r>
    </w:p>
    <w:p>
      <w:pPr>
        <w:spacing w:before="80" w:after="140"/>
        <w:ind w:left="142" w:right="142"/>
        <w:shd w:fill="D9EAF7"/>
      </w:pPr>
      <w:r>
        <w:rPr>
          <w:b w:val="0"/>
        </w:rPr>
        <w:t>Ne jamais committer `.env` dans Git.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4. Commandes principales</w:t>
      </w:r>
    </w:p>
    <w:p>
      <w:pPr>
        <w:pStyle w:val="Heading2"/>
      </w:pPr>
      <w:r>
        <w:t>4.1 Avant l’upgrade</w:t>
      </w:r>
    </w:p>
    <w:p>
      <w:pPr>
        <w:pStyle w:val="CodeBlock"/>
        <w:shd w:fill="F2F2F2"/>
      </w:pPr>
      <w:r>
        <w:t>python main.py --mode pre</w:t>
      </w:r>
    </w:p>
    <w:p>
      <w:r>
        <w:t>Crée une baseline PRE et le rapport de préparation.</w:t>
      </w:r>
    </w:p>
    <w:p>
      <w:pPr>
        <w:pStyle w:val="Heading2"/>
      </w:pPr>
      <w:r>
        <w:t>4.2 Après l’upgrade</w:t>
      </w:r>
    </w:p>
    <w:p>
      <w:pPr>
        <w:pStyle w:val="CodeBlock"/>
        <w:shd w:fill="F2F2F2"/>
      </w:pPr>
      <w:r>
        <w:t>python main.py --mode post</w:t>
      </w:r>
    </w:p>
    <w:p>
      <w:r>
        <w:t>Crée une nouvelle baseline POST et un rapport basé sur l’état après upgrade.</w:t>
      </w:r>
    </w:p>
    <w:p>
      <w:pPr>
        <w:pStyle w:val="Heading2"/>
      </w:pPr>
      <w:r>
        <w:t>4.3 Comparaison PRE / POST</w:t>
      </w:r>
    </w:p>
    <w:p>
      <w:pPr>
        <w:pStyle w:val="CodeBlock"/>
        <w:shd w:fill="F2F2F2"/>
      </w:pPr>
      <w:r>
        <w:t>python main.py --mode compare</w:t>
      </w:r>
    </w:p>
    <w:p>
      <w:r>
        <w:t>Compare les derniers JSON PRE et POST disponibles pour l’instance.</w:t>
      </w:r>
    </w:p>
    <w:p>
      <w:pPr>
        <w:spacing w:before="80" w:after="140"/>
        <w:ind w:left="142" w:right="142"/>
        <w:shd w:fill="D9EAF7"/>
      </w:pPr>
      <w:r>
        <w:rPr>
          <w:b w:val="0"/>
        </w:rPr>
        <w:t>Vérifier que les fichiers PRE et POST les plus récents dans `output/json` sont bien ceux que vous voulez comparer.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5. Fichiers générés</w:t>
      </w:r>
    </w:p>
    <w:p>
      <w:r>
        <w:t>Exemple :</w:t>
      </w:r>
    </w:p>
    <w:p>
      <w:pPr>
        <w:pStyle w:val="CodeBlock"/>
        <w:shd w:fill="F2F2F2"/>
      </w:pPr>
      <w:r>
        <w:t>output/</w:t>
        <w:br/>
        <w:t>├── json/</w:t>
        <w:br/>
        <w:t>│   ├── LAB-JIRA_PRE_20260916_161209.json</w:t>
        <w:br/>
        <w:t>│   └── LAB-JIRA_POST_....json</w:t>
        <w:br/>
        <w:t>├── excel/</w:t>
        <w:br/>
        <w:t>│   ├── LAB-JIRA_PRE_20260916_161209.xlsx</w:t>
        <w:br/>
        <w:t>│   ├── LAB-JIRA_POST_....xlsx</w:t>
        <w:br/>
        <w:t>│   └── LAB-JIRA_COMPARE_....xlsx</w:t>
        <w:br/>
        <w:t>└── logs/</w:t>
      </w:r>
    </w:p>
    <w:p>
      <w:pPr>
        <w:pStyle w:val="Heading2"/>
      </w:pPr>
      <w:r>
        <w:t>Règle importante pour le PRE</w:t>
      </w:r>
    </w:p>
    <w:p>
      <w:r>
        <w:t xml:space="preserve">Une fois que le bon fichier PRE a été choisi comme référence, il devient le </w:t>
      </w:r>
      <w:r>
        <w:rPr>
          <w:b/>
        </w:rPr>
        <w:t>document de travail vivant du projet</w:t>
      </w:r>
      <w:r>
        <w:t>.</w:t>
      </w:r>
    </w:p>
    <w:p>
      <w:r>
        <w:t>Il peut être complété manuellement. Une nouvelle exécution PRE produit un nouveau fichier horodaté ; elle ne doit pas servir à remplacer sans contrôle le fichier de travail déjà enrichi manuellement.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6. Comprendre les statuts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Statut</w:t>
            </w:r>
          </w:p>
        </w:tc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Que signifie-t-il ?</w:t>
            </w:r>
          </w:p>
        </w:tc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Que faire ?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PASS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Contrôle effectué et conforme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Rien, conserver la preuve si utile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WARNING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Point vérifié avec attention/action à prévoir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 xml:space="preserve">Lire </w:t>
            </w:r>
            <w:r>
              <w:rPr>
                <w:rFonts w:ascii="Consolas" w:hAnsi="Consolas"/>
                <w:color w:val="404040"/>
                <w:sz w:val="18"/>
              </w:rPr>
              <w:t>Action Required</w:t>
            </w:r>
            <w:r>
              <w:t>, décider et planifier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FAIL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Prérequis non conforme / blocage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Corriger avant Go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NOT_ASSESSED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Information connue mais vérification pas encore faite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Effectuer le contrôle puis modifier le statut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UNKNOWN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Le programme n’a pas obtenu l’information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Rechercher l’information ou corriger la collecte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INFO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Information descriptive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Pas de décision de conformité nécessaire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N/A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Contrôle non applicable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Aucune action</w:t>
            </w:r>
          </w:p>
        </w:tc>
      </w:tr>
    </w:tbl>
    <w:p/>
    <w:p>
      <w:pPr>
        <w:pStyle w:val="Heading2"/>
      </w:pPr>
      <w:r>
        <w:t>Différence essentielle</w:t>
      </w:r>
    </w:p>
    <w:p>
      <w:pPr>
        <w:pStyle w:val="CodeBlock"/>
        <w:shd w:fill="F2F2F2"/>
      </w:pPr>
      <w:r>
        <w:t>NOT_ASSESSED = je sais ce que je dois vérifier, mais je ne l’ai pas encore validé.</w:t>
        <w:br/>
        <w:t>UNKNOWN      = l’information elle-même n’est pas disponible.</w:t>
        <w:br/>
        <w:t>FAIL         = j’ai vérifié et le prérequis n’est pas respecté.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7. Assessment Method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Signification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AUTO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Le programme peut évaluer le contrôle automatiquement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EXTERNAL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La validation repose sur une source externe (documentation, Marketplace, éditeur, etc.)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MANUAL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Le contrôle doit être effectué par une personne ou une équipe</w:t>
            </w:r>
          </w:p>
        </w:tc>
      </w:tr>
    </w:tbl>
    <w:p/>
    <w:p>
      <w:r>
        <w:t>Cette colonne est générée par le programme. Elle n’a normalement pas besoin d’être modifiée.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8. Onglet </w:t>
      </w:r>
      <w:r>
        <w:rPr>
          <w:rFonts w:ascii="Consolas" w:hAnsi="Consolas"/>
          <w:color w:val="404040"/>
          <w:sz w:val="18"/>
        </w:rPr>
        <w:t>Summary</w:t>
      </w:r>
    </w:p>
    <w:p>
      <w:pPr>
        <w:pStyle w:val="Heading1"/>
      </w:pPr>
      <w:r>
        <w:t>Rôle</w:t>
      </w:r>
    </w:p>
    <w:p>
      <w:r>
        <w:t>Vue synthétique de l’instance analysée :</w:t>
      </w:r>
    </w:p>
    <w:p>
      <w:pPr>
        <w:pStyle w:val="ListBullet"/>
        <w:ind w:left="340"/>
      </w:pPr>
      <w:r>
        <w:t>instance ;</w:t>
      </w:r>
    </w:p>
    <w:p>
      <w:pPr>
        <w:pStyle w:val="ListBullet"/>
        <w:ind w:left="340"/>
      </w:pPr>
      <w:r>
        <w:t>phase PRE/POST ;</w:t>
      </w:r>
    </w:p>
    <w:p>
      <w:pPr>
        <w:pStyle w:val="ListBullet"/>
        <w:ind w:left="340"/>
      </w:pPr>
      <w:r>
        <w:t>Jira source ;</w:t>
      </w:r>
    </w:p>
    <w:p>
      <w:pPr>
        <w:pStyle w:val="ListBullet"/>
        <w:ind w:left="340"/>
      </w:pPr>
      <w:r>
        <w:t>Jira cible ;</w:t>
      </w:r>
    </w:p>
    <w:p>
      <w:pPr>
        <w:pStyle w:val="ListBullet"/>
        <w:ind w:left="340"/>
      </w:pPr>
      <w:r>
        <w:t>Base URL ;</w:t>
      </w:r>
    </w:p>
    <w:p>
      <w:pPr>
        <w:pStyle w:val="ListBullet"/>
        <w:ind w:left="340"/>
      </w:pPr>
      <w:r>
        <w:t>architecture ;</w:t>
      </w:r>
    </w:p>
    <w:p>
      <w:pPr>
        <w:pStyle w:val="ListBullet"/>
        <w:ind w:left="340"/>
      </w:pPr>
      <w:r>
        <w:t>Java source ;</w:t>
      </w:r>
    </w:p>
    <w:p>
      <w:pPr>
        <w:pStyle w:val="ListBullet"/>
        <w:ind w:left="340"/>
      </w:pPr>
      <w:r>
        <w:t>base de données ;</w:t>
      </w:r>
    </w:p>
    <w:p>
      <w:pPr>
        <w:pStyle w:val="ListBullet"/>
        <w:ind w:left="340"/>
      </w:pPr>
      <w:r>
        <w:t>nombre total d’apps inventoriées ;</w:t>
      </w:r>
    </w:p>
    <w:p>
      <w:pPr>
        <w:pStyle w:val="ListBullet"/>
        <w:ind w:left="340"/>
      </w:pPr>
      <w:r>
        <w:t>apps tierces ;</w:t>
      </w:r>
    </w:p>
    <w:p>
      <w:pPr>
        <w:pStyle w:val="ListBullet"/>
        <w:ind w:left="340"/>
      </w:pPr>
      <w:r>
        <w:t>apps Atlassian suivies.</w:t>
      </w:r>
    </w:p>
    <w:p>
      <w:pPr>
        <w:pStyle w:val="Heading1"/>
      </w:pPr>
      <w:r>
        <w:t>Saisie utilisateur</w:t>
      </w:r>
    </w:p>
    <w:p>
      <w:r>
        <w:rPr>
          <w:b/>
        </w:rPr>
        <w:t>Aucune.</w:t>
      </w:r>
    </w:p>
    <w:p>
      <w:r>
        <w:t>Cet onglet sert à vérifier immédiatement que vous travaillez sur la bonne instance, la bonne phase et la bonne cible.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9. Onglet </w:t>
      </w:r>
      <w:r>
        <w:rPr>
          <w:rFonts w:ascii="Consolas" w:hAnsi="Consolas"/>
          <w:color w:val="404040"/>
          <w:sz w:val="18"/>
        </w:rPr>
        <w:t>Baseline</w:t>
      </w:r>
    </w:p>
    <w:p>
      <w:pPr>
        <w:pStyle w:val="Heading1"/>
      </w:pPr>
      <w:r>
        <w:t>Rôle</w:t>
      </w:r>
    </w:p>
    <w:p>
      <w:r>
        <w:t xml:space="preserve">Affiche la baseline JSON sous forme aplatie </w:t>
      </w:r>
      <w:r>
        <w:rPr>
          <w:rFonts w:ascii="Consolas" w:hAnsi="Consolas"/>
          <w:color w:val="404040"/>
          <w:sz w:val="18"/>
        </w:rPr>
        <w:t>Property / Value</w:t>
      </w:r>
      <w:r>
        <w:t>.</w:t>
      </w:r>
    </w:p>
    <w:p>
      <w:r>
        <w:t>C’est la vue de traçabilité de ce qui a réellement été collecté au moment de l’exécution.</w:t>
      </w:r>
    </w:p>
    <w:p>
      <w:r>
        <w:t>Exemples de données :</w:t>
      </w:r>
    </w:p>
    <w:p>
      <w:pPr>
        <w:pStyle w:val="ListBullet"/>
        <w:ind w:left="340"/>
      </w:pPr>
      <w:r>
        <w:t>version/build Jira ;</w:t>
      </w:r>
    </w:p>
    <w:p>
      <w:pPr>
        <w:pStyle w:val="ListBullet"/>
        <w:ind w:left="340"/>
      </w:pPr>
      <w:r>
        <w:t>JVM ;</w:t>
      </w:r>
    </w:p>
    <w:p>
      <w:pPr>
        <w:pStyle w:val="ListBullet"/>
        <w:ind w:left="340"/>
      </w:pPr>
      <w:r>
        <w:t>OS ;</w:t>
      </w:r>
    </w:p>
    <w:p>
      <w:pPr>
        <w:pStyle w:val="ListBullet"/>
        <w:ind w:left="340"/>
      </w:pPr>
      <w:r>
        <w:t>chemins ;</w:t>
      </w:r>
    </w:p>
    <w:p>
      <w:pPr>
        <w:pStyle w:val="ListBullet"/>
        <w:ind w:left="340"/>
      </w:pPr>
      <w:r>
        <w:t>disque ;</w:t>
      </w:r>
    </w:p>
    <w:p>
      <w:pPr>
        <w:pStyle w:val="ListBullet"/>
        <w:ind w:left="340"/>
      </w:pPr>
      <w:r>
        <w:t>DB ;</w:t>
      </w:r>
    </w:p>
    <w:p>
      <w:pPr>
        <w:pStyle w:val="ListBullet"/>
        <w:ind w:left="340"/>
      </w:pPr>
      <w:r>
        <w:t>apps ;</w:t>
      </w:r>
    </w:p>
    <w:p>
      <w:pPr>
        <w:pStyle w:val="ListBullet"/>
        <w:ind w:left="340"/>
      </w:pPr>
      <w:r>
        <w:t>volumétrie Jira.</w:t>
      </w:r>
    </w:p>
    <w:p>
      <w:pPr>
        <w:pStyle w:val="Heading1"/>
      </w:pPr>
      <w:r>
        <w:t>Saisie utilisateur</w:t>
      </w:r>
    </w:p>
    <w:p>
      <w:r>
        <w:rPr>
          <w:b/>
        </w:rPr>
        <w:t>Aucune.</w:t>
      </w:r>
    </w:p>
    <w:p>
      <w:r>
        <w:t>Ne pas corriger manuellement une valeur de baseline dans Excel. Si elle est fausse, corriger la collecte ou la source puis régénérer une baseline.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10. Onglet </w:t>
      </w:r>
      <w:r>
        <w:rPr>
          <w:rFonts w:ascii="Consolas" w:hAnsi="Consolas"/>
          <w:color w:val="404040"/>
          <w:sz w:val="18"/>
        </w:rPr>
        <w:t>Findings</w:t>
      </w:r>
    </w:p>
    <w:p>
      <w:pPr>
        <w:pStyle w:val="Heading1"/>
      </w:pPr>
      <w:r>
        <w:t>Rôle</w:t>
      </w:r>
    </w:p>
    <w:p>
      <w:r>
        <w:t xml:space="preserve">Présente les constats produits par </w:t>
      </w:r>
      <w:r>
        <w:rPr>
          <w:rFonts w:ascii="Consolas" w:hAnsi="Consolas"/>
          <w:color w:val="404040"/>
          <w:sz w:val="18"/>
        </w:rPr>
        <w:t>baseline_analyzer.py</w:t>
      </w:r>
      <w:r>
        <w:t xml:space="preserve"> :</w:t>
      </w:r>
    </w:p>
    <w:p>
      <w:pPr>
        <w:pStyle w:val="CodeBlock"/>
        <w:shd w:fill="F2F2F2"/>
      </w:pPr>
      <w:r>
        <w:t>Severity | Domain | Message</w:t>
      </w:r>
    </w:p>
    <w:p>
      <w:r>
        <w:t>Il s’agit de constats techniques, pas du tableau principal de décision Go/No-Go.</w:t>
      </w:r>
    </w:p>
    <w:p>
      <w:pPr>
        <w:pStyle w:val="Heading1"/>
      </w:pPr>
      <w:r>
        <w:t>Saisie utilisateur</w:t>
      </w:r>
    </w:p>
    <w:p>
      <w:r>
        <w:rPr>
          <w:b/>
        </w:rPr>
        <w:t>Aucune.</w:t>
      </w:r>
    </w:p>
    <w:p>
      <w:r>
        <w:t>Utiliser les findings pour orienter l’analyse et vérifier si un point doit être traité dans le Readiness.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11. Onglet </w:t>
      </w:r>
      <w:r>
        <w:rPr>
          <w:rFonts w:ascii="Consolas" w:hAnsi="Consolas"/>
          <w:color w:val="404040"/>
          <w:sz w:val="18"/>
        </w:rPr>
        <w:t>Readiness</w:t>
      </w:r>
    </w:p>
    <w:p>
      <w:r>
        <w:t>C’est l’onglet principal pour la préparation de l’upgrade.</w:t>
      </w:r>
    </w:p>
    <w:p>
      <w:pPr>
        <w:pStyle w:val="Heading1"/>
      </w:pPr>
      <w:r>
        <w:t>11.1 Colonnes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Contenu</w:t>
            </w:r>
          </w:p>
        </w:tc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Saisie ?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Status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État du contrôle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b/>
              </w:rPr>
              <w:t>Oui pour les contrôles MANUAL/EXTERNAL après vérification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Domain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Domaine technique ou organisationnel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Check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Contrôle à réaliser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Current Value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Valeur constatée ou état actuel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Normalement non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Target / Expected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Condition à atteindre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Version / valeur retenue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Décision projet / version choisie / valeur validée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b/>
              </w:rPr>
              <w:t>Oui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Lien / téléchargement / source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Preuve, documentation, téléchargement ou référence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b/>
              </w:rPr>
              <w:t>Oui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Assessment Method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AUTO / EXTERNAL / MANUAL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Action Required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Action attendue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Non, sauf annotation exceptionnelle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Message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Explication du contrôle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Non, sauf note de projet si nécessaire</w:t>
            </w:r>
          </w:p>
        </w:tc>
      </w:tr>
    </w:tbl>
    <w:p/>
    <w:p>
      <w:r>
        <w:t xml:space="preserve">Dans le fichier Excel, les colonnes </w:t>
      </w:r>
      <w:r>
        <w:rPr>
          <w:b/>
        </w:rPr>
        <w:t>`Version / valeur retenue`</w:t>
      </w:r>
      <w:r>
        <w:t xml:space="preserve"> et </w:t>
      </w:r>
      <w:r>
        <w:rPr>
          <w:b/>
        </w:rPr>
        <w:t>`Lien / téléchargement / source`</w:t>
      </w:r>
      <w:r>
        <w:t xml:space="preserve"> sont les principales colonnes prévues pour la saisie de décision projet.</w:t>
      </w:r>
    </w:p>
    <w:p>
      <w:r>
        <w:t>Certaines lignes peuvent déjà être préremplies automatiquement, notamment les applications.</w:t>
      </w:r>
    </w:p>
    <w:p>
      <w:pPr>
        <w:pStyle w:val="Heading1"/>
      </w:pPr>
      <w:r>
        <w:t>11.2 Comment traiter une ligne MANUAL</w:t>
      </w:r>
    </w:p>
    <w:p>
      <w:r>
        <w:t>Exemple :</w:t>
      </w:r>
    </w:p>
    <w:p>
      <w:pPr>
        <w:pStyle w:val="CodeBlock"/>
        <w:shd w:fill="F2F2F2"/>
      </w:pPr>
      <w:r>
        <w:t>Status             NOT_ASSESSED</w:t>
        <w:br/>
        <w:t>Domain             BACKUP</w:t>
        <w:br/>
        <w:t>Check              Sauvegarde base de données</w:t>
        <w:br/>
        <w:t>Target / Expected  Sauvegarde complète réalisée et restauration possible</w:t>
        <w:br/>
        <w:t>Assessment Method  MANUAL</w:t>
        <w:br/>
        <w:t>Action Required    Valider avec l’infrastructure la sauvegarde DB</w:t>
      </w:r>
    </w:p>
    <w:p>
      <w:r>
        <w:t>Procédure :</w:t>
      </w:r>
    </w:p>
    <w:p>
      <w:pPr>
        <w:ind w:left="113" w:hanging="113"/>
      </w:pPr>
      <w:r>
        <w:t>1. effectuer la vérification avec l’équipe concernée ;</w:t>
      </w:r>
    </w:p>
    <w:p>
      <w:pPr>
        <w:ind w:left="113" w:hanging="113"/>
      </w:pPr>
      <w:r>
        <w:t xml:space="preserve">2. saisir dans </w:t>
      </w:r>
      <w:r>
        <w:rPr>
          <w:rFonts w:ascii="Consolas" w:hAnsi="Consolas"/>
          <w:color w:val="404040"/>
          <w:sz w:val="18"/>
        </w:rPr>
        <w:t>Version / valeur retenue</w:t>
      </w:r>
      <w:r>
        <w:t xml:space="preserve"> une réponse exploitable, par exemple :</w:t>
      </w:r>
    </w:p>
    <w:p>
      <w:pPr>
        <w:pStyle w:val="CodeBlock"/>
        <w:shd w:fill="F2F2F2"/>
      </w:pPr>
      <w:r>
        <w:t>Backup DB validé - snapshot 16/09/2026 18:00</w:t>
      </w:r>
    </w:p>
    <w:p>
      <w:pPr>
        <w:ind w:left="113" w:hanging="113"/>
      </w:pPr>
      <w:r>
        <w:t xml:space="preserve">3. ajouter dans </w:t>
      </w:r>
      <w:r>
        <w:rPr>
          <w:rFonts w:ascii="Consolas" w:hAnsi="Consolas"/>
          <w:color w:val="404040"/>
          <w:sz w:val="18"/>
        </w:rPr>
        <w:t>Lien / téléchargement / source</w:t>
      </w:r>
      <w:r>
        <w:t xml:space="preserve"> une référence si disponible : ticket, procédure, documentation, emplacement de preuve ;</w:t>
      </w:r>
    </w:p>
    <w:p>
      <w:pPr>
        <w:ind w:left="113" w:hanging="113"/>
      </w:pPr>
      <w:r>
        <w:t xml:space="preserve">4. modifier </w:t>
      </w:r>
      <w:r>
        <w:rPr>
          <w:rFonts w:ascii="Consolas" w:hAnsi="Consolas"/>
          <w:color w:val="404040"/>
          <w:sz w:val="18"/>
        </w:rPr>
        <w:t>Status</w:t>
      </w:r>
      <w:r>
        <w:t xml:space="preserve"> :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PASS</w:t>
      </w:r>
      <w:r>
        <w:t xml:space="preserve"> si conforme ;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WARNING</w:t>
      </w:r>
      <w:r>
        <w:t xml:space="preserve"> si conforme avec réserve ;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FAIL</w:t>
      </w:r>
      <w:r>
        <w:t xml:space="preserve"> si non conforme ;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N/A</w:t>
      </w:r>
      <w:r>
        <w:t xml:space="preserve"> si le contrôle ne s’applique réellement pas.</w:t>
      </w:r>
    </w:p>
    <w:p>
      <w:pPr>
        <w:pStyle w:val="Heading1"/>
      </w:pPr>
      <w:r>
        <w:t>11.3 Comment traiter une ligne EXTERNAL</w:t>
      </w:r>
    </w:p>
    <w:p>
      <w:r>
        <w:t>Exemple : compatibilité plateforme ou application.</w:t>
      </w:r>
    </w:p>
    <w:p>
      <w:pPr>
        <w:ind w:left="113" w:hanging="113"/>
      </w:pPr>
      <w:r>
        <w:t>1. lire la source indiquée ;</w:t>
      </w:r>
    </w:p>
    <w:p>
      <w:pPr>
        <w:ind w:left="113" w:hanging="113"/>
      </w:pPr>
      <w:r>
        <w:t>2. confirmer la version retenue ;</w:t>
      </w:r>
    </w:p>
    <w:p>
      <w:pPr>
        <w:ind w:left="113" w:hanging="113"/>
      </w:pPr>
      <w:r>
        <w:t>3. conserver le lien officiel ;</w:t>
      </w:r>
    </w:p>
    <w:p>
      <w:pPr>
        <w:ind w:left="113" w:hanging="113"/>
      </w:pPr>
      <w:r>
        <w:t xml:space="preserve">4. ajuster le </w:t>
      </w:r>
      <w:r>
        <w:rPr>
          <w:rFonts w:ascii="Consolas" w:hAnsi="Consolas"/>
          <w:color w:val="404040"/>
          <w:sz w:val="18"/>
        </w:rPr>
        <w:t>Status</w:t>
      </w:r>
      <w:r>
        <w:t xml:space="preserve"> uniquement si la conclusion projet diffère ou si une validation complémentaire a été faite.</w:t>
      </w:r>
    </w:p>
    <w:p>
      <w:pPr>
        <w:pStyle w:val="Heading1"/>
      </w:pPr>
      <w:r>
        <w:t>11.4 Comment traiter une ligne AUTO</w:t>
      </w:r>
    </w:p>
    <w:p>
      <w:r>
        <w:t xml:space="preserve">Une ligne </w:t>
      </w:r>
      <w:r>
        <w:rPr>
          <w:rFonts w:ascii="Consolas" w:hAnsi="Consolas"/>
          <w:color w:val="404040"/>
          <w:sz w:val="18"/>
        </w:rPr>
        <w:t>AUTO</w:t>
      </w:r>
      <w:r>
        <w:t xml:space="preserve"> est normalement calculée.</w:t>
      </w:r>
    </w:p>
    <w:p>
      <w:r>
        <w:t>Ne la modifier que si :</w:t>
      </w:r>
    </w:p>
    <w:p>
      <w:pPr>
        <w:pStyle w:val="ListBullet"/>
        <w:ind w:left="340"/>
      </w:pPr>
      <w:r>
        <w:t>la donnée source est incorrecte ;</w:t>
      </w:r>
    </w:p>
    <w:p>
      <w:pPr>
        <w:pStyle w:val="ListBullet"/>
        <w:ind w:left="340"/>
      </w:pPr>
      <w:r>
        <w:t>le programme n’a pas accès à une information pourtant connue ;</w:t>
      </w:r>
    </w:p>
    <w:p>
      <w:pPr>
        <w:pStyle w:val="ListBullet"/>
        <w:ind w:left="340"/>
      </w:pPr>
      <w:r>
        <w:t>une décision projet doit explicitement documenter une exception.</w:t>
      </w:r>
    </w:p>
    <w:p>
      <w:r>
        <w:t>Dans ce cas, documenter la raison et ne pas masquer un défaut de collecte.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12. Onglet </w:t>
      </w:r>
      <w:r>
        <w:rPr>
          <w:rFonts w:ascii="Consolas" w:hAnsi="Consolas"/>
          <w:color w:val="404040"/>
          <w:sz w:val="18"/>
        </w:rPr>
        <w:t>App Compatibility</w:t>
      </w:r>
    </w:p>
    <w:p>
      <w:r>
        <w:t>Cet onglet apparaît en mode PRE.</w:t>
      </w:r>
    </w:p>
    <w:p>
      <w:pPr>
        <w:pStyle w:val="Heading1"/>
      </w:pPr>
      <w:r>
        <w:t>12.1 Objectif</w:t>
      </w:r>
    </w:p>
    <w:p>
      <w:r>
        <w:t>Pour chaque application détectée, il explique :</w:t>
      </w:r>
    </w:p>
    <w:p>
      <w:pPr>
        <w:pStyle w:val="ListBullet"/>
        <w:ind w:left="340"/>
      </w:pPr>
      <w:r>
        <w:t>ce qui est installé aujourd’hui ;</w:t>
      </w:r>
    </w:p>
    <w:p>
      <w:pPr>
        <w:pStyle w:val="ListBullet"/>
        <w:ind w:left="340"/>
      </w:pPr>
      <w:r>
        <w:t>si l’app actuelle est compatible avec Jira source ;</w:t>
      </w:r>
    </w:p>
    <w:p>
      <w:pPr>
        <w:pStyle w:val="ListBullet"/>
        <w:ind w:left="340"/>
      </w:pPr>
      <w:r>
        <w:t>si elle peut traverser directement vers Jira cible ;</w:t>
      </w:r>
    </w:p>
    <w:p>
      <w:pPr>
        <w:pStyle w:val="ListBullet"/>
        <w:ind w:left="340"/>
      </w:pPr>
      <w:r>
        <w:t>si une version pont existe ;</w:t>
      </w:r>
    </w:p>
    <w:p>
      <w:pPr>
        <w:pStyle w:val="ListBullet"/>
        <w:ind w:left="340"/>
      </w:pPr>
      <w:r>
        <w:t>quelle version cible existe ;</w:t>
      </w:r>
    </w:p>
    <w:p>
      <w:pPr>
        <w:pStyle w:val="ListBullet"/>
        <w:ind w:left="340"/>
      </w:pPr>
      <w:r>
        <w:t>quelle stratégie appliquer.</w:t>
      </w:r>
    </w:p>
    <w:p>
      <w:pPr>
        <w:pStyle w:val="Heading1"/>
      </w:pPr>
      <w:r>
        <w:t>12.2 Colonnes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Signification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Status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Conclusion de préparation de l’app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App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Nom de l’application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App Type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MARKETPLACE_APP</w:t>
            </w:r>
            <w:r>
              <w:t xml:space="preserve">, </w:t>
            </w:r>
            <w:r>
              <w:rPr>
                <w:rFonts w:ascii="Consolas" w:hAnsi="Consolas"/>
                <w:color w:val="404040"/>
                <w:sz w:val="18"/>
              </w:rPr>
              <w:t>ATLASSIAN_APP</w:t>
            </w:r>
            <w:r>
              <w:t xml:space="preserve"> ou </w:t>
            </w:r>
            <w:r>
              <w:rPr>
                <w:rFonts w:ascii="Consolas" w:hAnsi="Consolas"/>
                <w:color w:val="404040"/>
                <w:sz w:val="18"/>
              </w:rPr>
              <w:t>ATLASSIAN_BUNDLED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Management Mode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Mode de gestion de la compatibilité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Plugin Key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Identifiant technique de l’app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Current Version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Version installée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Current Marketplace URL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Page publique de la version actuelle lorsque disponible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Source Jira</w:t>
            </w:r>
            <w:r>
              <w:t xml:space="preserve"> / </w:t>
            </w:r>
            <w:r>
              <w:rPr>
                <w:rFonts w:ascii="Consolas" w:hAnsi="Consolas"/>
                <w:color w:val="404040"/>
                <w:sz w:val="18"/>
              </w:rPr>
              <w:t>Source Build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Jira source et build Marketplace associé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Current Compatible Source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Compatibilité de la version actuelle avec la source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Latest Source-Compatible Version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Dernière version compatible source ; information, pas obligation de mise à jour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Target Jira</w:t>
            </w:r>
            <w:r>
              <w:t xml:space="preserve"> / </w:t>
            </w:r>
            <w:r>
              <w:rPr>
                <w:rFonts w:ascii="Consolas" w:hAnsi="Consolas"/>
                <w:color w:val="404040"/>
                <w:sz w:val="18"/>
              </w:rPr>
              <w:t>Target Build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Jira cible et build Marketplace associé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Current Compatible Target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La version actuelle supporte-t-elle directement la cible ?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Bridge Version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Version compatible à la fois source et cible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Bridge Marketplace URL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Page de la version pont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Bridge Public Download URL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Lien public de téléchargement lorsque disponible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Target-only Version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Version utilisable sur la cible mais pas sur la source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Target-only Marketplace URL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Page de la version cible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Target-only Public Download URL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Téléchargement public lorsque disponible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Strategy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Stratégie calculée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Reference URL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Documentation de référence, notamment pour les apps bundlées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Action Required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Action concrète à prévoir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Message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Explication de la conclusion</w:t>
            </w:r>
          </w:p>
        </w:tc>
      </w:tr>
    </w:tbl>
    <w:p/>
    <w:p>
      <w:pPr>
        <w:pStyle w:val="Heading1"/>
      </w:pPr>
      <w:r>
        <w:t>12.3 Faut-il remplir cet onglet ?</w:t>
      </w:r>
    </w:p>
    <w:p>
      <w:r>
        <w:t xml:space="preserve">En règle générale : </w:t>
      </w:r>
      <w:r>
        <w:rPr>
          <w:b/>
        </w:rPr>
        <w:t>non</w:t>
      </w:r>
      <w:r>
        <w:t>.</w:t>
      </w:r>
    </w:p>
    <w:p>
      <w:r>
        <w:t xml:space="preserve">C’est un onglet d’analyse automatique. La décision projet finale doit être reflétée dans </w:t>
      </w:r>
      <w:r>
        <w:rPr>
          <w:rFonts w:ascii="Consolas" w:hAnsi="Consolas"/>
          <w:color w:val="404040"/>
          <w:sz w:val="18"/>
        </w:rPr>
        <w:t>Readiness</w:t>
      </w:r>
      <w:r>
        <w:t>.</w:t>
      </w:r>
    </w:p>
    <w:p>
      <w:r>
        <w:t xml:space="preserve">Une revue manuelle est nécessaire lorsque </w:t>
      </w:r>
      <w:r>
        <w:rPr>
          <w:rFonts w:ascii="Consolas" w:hAnsi="Consolas"/>
          <w:color w:val="404040"/>
          <w:sz w:val="18"/>
        </w:rPr>
        <w:t>Strategy = MANUAL_REVIEW</w:t>
      </w:r>
      <w:r>
        <w:t xml:space="preserve"> ou </w:t>
      </w:r>
      <w:r>
        <w:rPr>
          <w:rFonts w:ascii="Consolas" w:hAnsi="Consolas"/>
          <w:color w:val="404040"/>
          <w:sz w:val="18"/>
        </w:rPr>
        <w:t>Status = NOT_ASSESSED</w:t>
      </w:r>
      <w:r>
        <w:t>.</w:t>
      </w:r>
    </w:p>
    <w:p>
      <w:pPr>
        <w:pStyle w:val="Heading1"/>
      </w:pPr>
      <w:r>
        <w:t>12.4 Comprendre les stratégies</w:t>
      </w:r>
    </w:p>
    <w:p>
      <w:pPr>
        <w:pStyle w:val="Heading2"/>
      </w:pPr>
      <w:r>
        <w:rPr>
          <w:rFonts w:ascii="Consolas" w:hAnsi="Consolas"/>
          <w:color w:val="404040"/>
          <w:sz w:val="18"/>
        </w:rPr>
        <w:t>KEEP</w:t>
      </w:r>
    </w:p>
    <w:p>
      <w:pPr>
        <w:pStyle w:val="CodeBlock"/>
        <w:shd w:fill="F2F2F2"/>
      </w:pPr>
      <w:r>
        <w:t>App actuelle compatible source + cible</w:t>
        <w:br/>
        <w:t>=&gt; conserver pendant l’upgrade</w:t>
      </w:r>
    </w:p>
    <w:p>
      <w:pPr>
        <w:pStyle w:val="Heading2"/>
      </w:pPr>
      <w:r>
        <w:rPr>
          <w:rFonts w:ascii="Consolas" w:hAnsi="Consolas"/>
          <w:color w:val="404040"/>
          <w:sz w:val="18"/>
        </w:rPr>
        <w:t>PRE_UPGRADE_BRIDGE</w:t>
      </w:r>
    </w:p>
    <w:p>
      <w:pPr>
        <w:pStyle w:val="CodeBlock"/>
        <w:shd w:fill="F2F2F2"/>
      </w:pPr>
      <w:r>
        <w:t>App actuelle</w:t>
        <w:br/>
        <w:t xml:space="preserve">   ↓</w:t>
        <w:br/>
        <w:t>mettre à jour vers Bridge Version sur Jira source</w:t>
        <w:br/>
        <w:t xml:space="preserve">   ↓</w:t>
        <w:br/>
        <w:t>upgrade Jira</w:t>
        <w:br/>
        <w:t xml:space="preserve">   ↓</w:t>
        <w:br/>
        <w:t>app reste compatible</w:t>
      </w:r>
    </w:p>
    <w:p>
      <w:pPr>
        <w:pStyle w:val="Heading2"/>
      </w:pPr>
      <w:r>
        <w:rPr>
          <w:rFonts w:ascii="Consolas" w:hAnsi="Consolas"/>
          <w:color w:val="404040"/>
          <w:sz w:val="18"/>
        </w:rPr>
        <w:t>PRE_UPGRADE_BRIDGE_THEN_POST</w:t>
      </w:r>
    </w:p>
    <w:p>
      <w:pPr>
        <w:pStyle w:val="CodeBlock"/>
        <w:shd w:fill="F2F2F2"/>
      </w:pPr>
      <w:r>
        <w:t>App actuelle</w:t>
        <w:br/>
        <w:t xml:space="preserve">   ↓</w:t>
        <w:br/>
        <w:t>Bridge Version avant Jira</w:t>
        <w:br/>
        <w:t xml:space="preserve">   ↓</w:t>
        <w:br/>
        <w:t>upgrade Jira</w:t>
        <w:br/>
        <w:t xml:space="preserve">   ↓</w:t>
        <w:br/>
        <w:t>validation</w:t>
        <w:br/>
        <w:t xml:space="preserve">   ↓</w:t>
        <w:br/>
        <w:t>version cible plus récente si retenue</w:t>
      </w:r>
    </w:p>
    <w:p>
      <w:pPr>
        <w:pStyle w:val="Heading2"/>
      </w:pPr>
      <w:r>
        <w:rPr>
          <w:rFonts w:ascii="Consolas" w:hAnsi="Consolas"/>
          <w:color w:val="404040"/>
          <w:sz w:val="18"/>
        </w:rPr>
        <w:t>DISABLE_THEN_POST_UPGRADE</w:t>
      </w:r>
    </w:p>
    <w:p>
      <w:pPr>
        <w:pStyle w:val="CodeBlock"/>
        <w:shd w:fill="F2F2F2"/>
      </w:pPr>
      <w:r>
        <w:t>Aucune Bridge Version</w:t>
        <w:br/>
        <w:t xml:space="preserve">   ↓</w:t>
        <w:br/>
        <w:t>désactiver l’app avant l’upgrade Jira</w:t>
        <w:br/>
        <w:t xml:space="preserve">   ↓</w:t>
        <w:br/>
        <w:t>upgrade Jira</w:t>
        <w:br/>
        <w:t xml:space="preserve">   ↓</w:t>
        <w:br/>
        <w:t>installer Target-only Version</w:t>
        <w:br/>
        <w:t xml:space="preserve">   ↓</w:t>
        <w:br/>
        <w:t>réactiver</w:t>
        <w:br/>
        <w:t xml:space="preserve">   ↓</w:t>
        <w:br/>
        <w:t>tester</w:t>
      </w:r>
    </w:p>
    <w:p>
      <w:pPr>
        <w:pStyle w:val="Heading2"/>
      </w:pPr>
      <w:r>
        <w:rPr>
          <w:rFonts w:ascii="Consolas" w:hAnsi="Consolas"/>
          <w:color w:val="404040"/>
          <w:sz w:val="18"/>
        </w:rPr>
        <w:t>MANUAL_REVIEW</w:t>
      </w:r>
    </w:p>
    <w:p>
      <w:r>
        <w:t xml:space="preserve">Le Marketplace ne permet pas au programme de conclure automatiquement. Ne pas choisir une version au hasard : consulter l’éditeur / Marketplace / documentation officielle et documenter la décision dans </w:t>
      </w:r>
      <w:r>
        <w:rPr>
          <w:rFonts w:ascii="Consolas" w:hAnsi="Consolas"/>
          <w:color w:val="404040"/>
          <w:sz w:val="18"/>
        </w:rPr>
        <w:t>Readiness</w:t>
      </w:r>
      <w:r>
        <w:t>.</w:t>
      </w:r>
    </w:p>
    <w:p>
      <w:pPr>
        <w:pStyle w:val="Heading2"/>
      </w:pPr>
      <w:r>
        <w:rPr>
          <w:rFonts w:ascii="Consolas" w:hAnsi="Consolas"/>
          <w:color w:val="404040"/>
          <w:sz w:val="18"/>
        </w:rPr>
        <w:t>NO_TARGET_VERSION</w:t>
      </w:r>
    </w:p>
    <w:p>
      <w:r>
        <w:t>Aucune version cible supportée n’a été identifiée. Traiter comme un blocage jusqu’à clarification.</w:t>
      </w:r>
    </w:p>
    <w:p>
      <w:pPr>
        <w:pStyle w:val="Heading2"/>
      </w:pPr>
      <w:r>
        <w:rPr>
          <w:rFonts w:ascii="Consolas" w:hAnsi="Consolas"/>
          <w:color w:val="404040"/>
          <w:sz w:val="18"/>
        </w:rPr>
        <w:t>BUNDLED_WITH_JIRA</w:t>
      </w:r>
    </w:p>
    <w:p>
      <w:r>
        <w:t>Le composant est fourni avec Jira cible. Il n’y a pas de version pont Marketplace à installer séparément pour l’upgrade.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13. Cas particulier des apps Atlassian bundlées</w:t>
      </w:r>
    </w:p>
    <w:p>
      <w:r>
        <w:t>Le toolkit traite actuellement séparément :</w:t>
      </w:r>
    </w:p>
    <w:p>
      <w:pPr>
        <w:pStyle w:val="ListBullet"/>
        <w:ind w:left="340"/>
      </w:pPr>
      <w:r>
        <w:t>Automation for Jira ;</w:t>
      </w:r>
    </w:p>
    <w:p>
      <w:pPr>
        <w:pStyle w:val="ListBullet"/>
        <w:ind w:left="340"/>
      </w:pPr>
      <w:r>
        <w:t>Authentication / SSO Data Center ;</w:t>
      </w:r>
    </w:p>
    <w:p>
      <w:pPr>
        <w:pStyle w:val="ListBullet"/>
        <w:ind w:left="340"/>
      </w:pPr>
      <w:r>
        <w:t>Jira Cloud Migration Assistant.</w:t>
      </w:r>
    </w:p>
    <w:p>
      <w:r>
        <w:t>Elles apparaissent avec :</w:t>
      </w:r>
    </w:p>
    <w:p>
      <w:pPr>
        <w:pStyle w:val="CodeBlock"/>
        <w:shd w:fill="F2F2F2"/>
      </w:pPr>
      <w:r>
        <w:t>App Type        ATLASSIAN_BUNDLED</w:t>
        <w:br/>
        <w:t>Strategy        BUNDLED_WITH_JIRA</w:t>
        <w:br/>
        <w:t>Status          PASS</w:t>
      </w:r>
    </w:p>
    <w:p>
      <w:r>
        <w:rPr>
          <w:rFonts w:ascii="Consolas" w:hAnsi="Consolas"/>
          <w:color w:val="404040"/>
          <w:sz w:val="18"/>
        </w:rPr>
        <w:t>PASS</w:t>
      </w:r>
      <w:r>
        <w:t xml:space="preserve"> signifie ici :</w:t>
      </w:r>
    </w:p>
    <w:p>
      <w:pPr>
        <w:spacing w:before="80" w:after="140"/>
        <w:ind w:left="142" w:right="142"/>
        <w:shd w:fill="D9EAF7"/>
      </w:pPr>
      <w:r>
        <w:rPr>
          <w:b w:val="0"/>
        </w:rPr>
        <w:t>aucune action de compatibilité séparée n’est requise avant l’upgrade Jira.</w:t>
      </w:r>
    </w:p>
    <w:p>
      <w:r>
        <w:t>Cela ne signifie pas « aucun test après upgrade ».</w:t>
      </w:r>
    </w:p>
    <w:p>
      <w:pPr>
        <w:pStyle w:val="Heading2"/>
      </w:pPr>
      <w:r>
        <w:t>Automation for Jira</w:t>
      </w:r>
    </w:p>
    <w:p>
      <w:r>
        <w:t>Avant clone/upgrade : neutraliser les règles à risque selon le runbook.</w:t>
      </w:r>
    </w:p>
    <w:p>
      <w:r>
        <w:t>Après upgrade : valider les règles critiques.</w:t>
      </w:r>
    </w:p>
    <w:p>
      <w:pPr>
        <w:pStyle w:val="Heading2"/>
      </w:pPr>
      <w:r>
        <w:t>Authentication / SSO Data Center</w:t>
      </w:r>
    </w:p>
    <w:p>
      <w:r>
        <w:t>Après upgrade : tester la connexion, le SSO et le mécanisme de secours. Une éventuelle mise à jour séparée vient ensuite si le projet la retient.</w:t>
      </w:r>
    </w:p>
    <w:p>
      <w:pPr>
        <w:pStyle w:val="Heading2"/>
      </w:pPr>
      <w:r>
        <w:t>JCMA</w:t>
      </w:r>
    </w:p>
    <w:p>
      <w:r>
        <w:t>La mise à jour éventuelle de JCMA concerne surtout la préparation de la future migration vers Cloud ; elle ne doit pas être confondue avec un prérequis de compatibilité de l’upgrade Jira lui-même.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14. Onglet </w:t>
      </w:r>
      <w:r>
        <w:rPr>
          <w:rFonts w:ascii="Consolas" w:hAnsi="Consolas"/>
          <w:color w:val="404040"/>
          <w:sz w:val="18"/>
        </w:rPr>
        <w:t>Supported Platforms</w:t>
      </w:r>
    </w:p>
    <w:p>
      <w:pPr>
        <w:pStyle w:val="Heading1"/>
      </w:pPr>
      <w:r>
        <w:t>Rôle</w:t>
      </w:r>
    </w:p>
    <w:p>
      <w:r>
        <w:t>Expose la matrice de référence intégrée au projet pour la version Jira cible :</w:t>
      </w:r>
    </w:p>
    <w:p>
      <w:pPr>
        <w:pStyle w:val="CodeBlock"/>
        <w:shd w:fill="F2F2F2"/>
      </w:pPr>
      <w:r>
        <w:t>Jira Target</w:t>
        <w:br/>
        <w:t>Category</w:t>
        <w:br/>
        <w:t>Technology</w:t>
        <w:br/>
        <w:t>Version</w:t>
        <w:br/>
        <w:t>Support Status</w:t>
        <w:br/>
        <w:t>Notes</w:t>
        <w:br/>
        <w:t>Source</w:t>
      </w:r>
    </w:p>
    <w:p>
      <w:r>
        <w:t>Statuts possibles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Support Status</w:t>
            </w:r>
          </w:p>
        </w:tc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Interprétation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SUPPORTED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Supporté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TESTED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Version testée/référencée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DEPRECATED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Encore utilisable mais dépréciée ; attention à la pérennité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UNSUPPORTED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 supporté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NOT_ASSESSED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Matrice non disponible ou non évaluée</w:t>
            </w:r>
          </w:p>
        </w:tc>
      </w:tr>
    </w:tbl>
    <w:p/>
    <w:p>
      <w:pPr>
        <w:pStyle w:val="Heading1"/>
      </w:pPr>
      <w:r>
        <w:t>Saisie utilisateur</w:t>
      </w:r>
    </w:p>
    <w:p>
      <w:r>
        <w:rPr>
          <w:b/>
        </w:rPr>
        <w:t>Aucune.</w:t>
      </w:r>
    </w:p>
    <w:p>
      <w:r>
        <w:t>Cet onglet sert de référentiel pour comprendre les lignes Java/DB/JDBC/OS du Readiness.</w:t>
      </w:r>
    </w:p>
    <w:p>
      <w:r>
        <w:t>Si la cible change, la matrice doit être revue dans le code avant d’être considérée comme source de décision.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15. Onglet </w:t>
      </w:r>
      <w:r>
        <w:rPr>
          <w:rFonts w:ascii="Consolas" w:hAnsi="Consolas"/>
          <w:color w:val="404040"/>
          <w:sz w:val="18"/>
        </w:rPr>
        <w:t>PRE_POST</w:t>
      </w:r>
    </w:p>
    <w:p>
      <w:r>
        <w:t>Présent uniquement dans le rapport généré par :</w:t>
      </w:r>
    </w:p>
    <w:p>
      <w:pPr>
        <w:pStyle w:val="CodeBlock"/>
        <w:shd w:fill="F2F2F2"/>
      </w:pPr>
      <w:r>
        <w:t>python main.py --mode compare</w:t>
      </w:r>
    </w:p>
    <w:p>
      <w:r>
        <w:t>Colonnes :</w:t>
      </w:r>
    </w:p>
    <w:p>
      <w:pPr>
        <w:pStyle w:val="CodeBlock"/>
        <w:shd w:fill="F2F2F2"/>
      </w:pPr>
      <w:r>
        <w:t>Domain | Field | PRE | POST | Status</w:t>
      </w:r>
    </w:p>
    <w:p>
      <w:pPr>
        <w:pStyle w:val="Heading1"/>
      </w:pPr>
      <w:r>
        <w:t>Saisie utilisateur</w:t>
      </w:r>
    </w:p>
    <w:p>
      <w:r>
        <w:rPr>
          <w:b/>
        </w:rPr>
        <w:t>Aucune.</w:t>
      </w:r>
    </w:p>
    <w:p>
      <w:r>
        <w:t>Cet onglet vérifie notamment que la version Jira POST correspond à la cible et que les valeurs qui doivent rester stables n’ont pas évolué anormalement.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16. Ordre conseillé pour compléter un PRE</w:t>
      </w:r>
    </w:p>
    <w:p>
      <w:pPr>
        <w:ind w:left="113" w:hanging="113"/>
      </w:pPr>
      <w:r>
        <w:t xml:space="preserve">1. Vérifier </w:t>
      </w:r>
      <w:r>
        <w:rPr>
          <w:rFonts w:ascii="Consolas" w:hAnsi="Consolas"/>
          <w:color w:val="404040"/>
          <w:sz w:val="18"/>
        </w:rPr>
        <w:t>Summary</w:t>
      </w:r>
      <w:r>
        <w:t>.</w:t>
      </w:r>
    </w:p>
    <w:p>
      <w:pPr>
        <w:ind w:left="113" w:hanging="113"/>
      </w:pPr>
      <w:r>
        <w:t xml:space="preserve">2. Parcourir </w:t>
      </w:r>
      <w:r>
        <w:rPr>
          <w:rFonts w:ascii="Consolas" w:hAnsi="Consolas"/>
          <w:color w:val="404040"/>
          <w:sz w:val="18"/>
        </w:rPr>
        <w:t>Findings</w:t>
      </w:r>
      <w:r>
        <w:t>.</w:t>
      </w:r>
    </w:p>
    <w:p>
      <w:pPr>
        <w:ind w:left="113" w:hanging="113"/>
      </w:pPr>
      <w:r>
        <w:t xml:space="preserve">3. Vérifier les </w:t>
      </w:r>
      <w:r>
        <w:rPr>
          <w:rFonts w:ascii="Consolas" w:hAnsi="Consolas"/>
          <w:color w:val="404040"/>
          <w:sz w:val="18"/>
        </w:rPr>
        <w:t>FAIL</w:t>
      </w:r>
      <w:r>
        <w:t xml:space="preserve"> de </w:t>
      </w:r>
      <w:r>
        <w:rPr>
          <w:rFonts w:ascii="Consolas" w:hAnsi="Consolas"/>
          <w:color w:val="404040"/>
          <w:sz w:val="18"/>
        </w:rPr>
        <w:t>Readiness</w:t>
      </w:r>
      <w:r>
        <w:t>.</w:t>
      </w:r>
    </w:p>
    <w:p>
      <w:pPr>
        <w:ind w:left="113" w:hanging="113"/>
      </w:pPr>
      <w:r>
        <w:t xml:space="preserve">4. Vérifier les </w:t>
      </w:r>
      <w:r>
        <w:rPr>
          <w:rFonts w:ascii="Consolas" w:hAnsi="Consolas"/>
          <w:color w:val="404040"/>
          <w:sz w:val="18"/>
        </w:rPr>
        <w:t>WARNING</w:t>
      </w:r>
      <w:r>
        <w:t xml:space="preserve"> de </w:t>
      </w:r>
      <w:r>
        <w:rPr>
          <w:rFonts w:ascii="Consolas" w:hAnsi="Consolas"/>
          <w:color w:val="404040"/>
          <w:sz w:val="18"/>
        </w:rPr>
        <w:t>Readiness</w:t>
      </w:r>
      <w:r>
        <w:t>.</w:t>
      </w:r>
    </w:p>
    <w:p>
      <w:pPr>
        <w:ind w:left="113" w:hanging="113"/>
      </w:pPr>
      <w:r>
        <w:t xml:space="preserve">5. Traiter les </w:t>
      </w:r>
      <w:r>
        <w:rPr>
          <w:rFonts w:ascii="Consolas" w:hAnsi="Consolas"/>
          <w:color w:val="404040"/>
          <w:sz w:val="18"/>
        </w:rPr>
        <w:t>NOT_ASSESSED</w:t>
      </w:r>
      <w:r>
        <w:t xml:space="preserve"> avec </w:t>
      </w:r>
      <w:r>
        <w:rPr>
          <w:rFonts w:ascii="Consolas" w:hAnsi="Consolas"/>
          <w:color w:val="404040"/>
          <w:sz w:val="18"/>
        </w:rPr>
        <w:t>Assessment Method = MANUAL</w:t>
      </w:r>
      <w:r>
        <w:t>.</w:t>
      </w:r>
    </w:p>
    <w:p>
      <w:pPr>
        <w:ind w:left="113" w:hanging="113"/>
      </w:pPr>
      <w:r>
        <w:t xml:space="preserve">6. Traiter les </w:t>
      </w:r>
      <w:r>
        <w:rPr>
          <w:rFonts w:ascii="Consolas" w:hAnsi="Consolas"/>
          <w:color w:val="404040"/>
          <w:sz w:val="18"/>
        </w:rPr>
        <w:t>UNKNOWN</w:t>
      </w:r>
      <w:r>
        <w:t xml:space="preserve"> en recherchant l’information manquante.</w:t>
      </w:r>
    </w:p>
    <w:p>
      <w:pPr>
        <w:ind w:left="113" w:hanging="113"/>
      </w:pPr>
      <w:r>
        <w:t xml:space="preserve">7. Contrôler </w:t>
      </w:r>
      <w:r>
        <w:rPr>
          <w:rFonts w:ascii="Consolas" w:hAnsi="Consolas"/>
          <w:color w:val="404040"/>
          <w:sz w:val="18"/>
        </w:rPr>
        <w:t>Supported Platforms</w:t>
      </w:r>
      <w:r>
        <w:t xml:space="preserve"> pour Java / DB / JDBC / OS.</w:t>
      </w:r>
    </w:p>
    <w:p>
      <w:pPr>
        <w:ind w:left="113" w:hanging="113"/>
      </w:pPr>
      <w:r>
        <w:t xml:space="preserve">8. Contrôler </w:t>
      </w:r>
      <w:r>
        <w:rPr>
          <w:rFonts w:ascii="Consolas" w:hAnsi="Consolas"/>
          <w:color w:val="404040"/>
          <w:sz w:val="18"/>
        </w:rPr>
        <w:t>App Compatibility</w:t>
      </w:r>
      <w:r>
        <w:t xml:space="preserve"> et reporter les décisions utiles dans </w:t>
      </w:r>
      <w:r>
        <w:rPr>
          <w:rFonts w:ascii="Consolas" w:hAnsi="Consolas"/>
          <w:color w:val="404040"/>
          <w:sz w:val="18"/>
        </w:rPr>
        <w:t>Readiness</w:t>
      </w:r>
      <w:r>
        <w:t>.</w:t>
      </w:r>
    </w:p>
    <w:p>
      <w:pPr>
        <w:ind w:left="113" w:hanging="113"/>
      </w:pPr>
      <w:r>
        <w:t>9. Compléter les colonnes :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Version / valeur retenue</w:t>
      </w:r>
      <w:r>
        <w:t xml:space="preserve"> ;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Lien / téléchargement / source</w:t>
      </w:r>
      <w:r>
        <w:t>.</w:t>
      </w:r>
    </w:p>
    <w:p>
      <w:pPr>
        <w:ind w:left="113" w:hanging="113"/>
      </w:pPr>
      <w:r>
        <w:t xml:space="preserve">10. Mettre à jour </w:t>
      </w:r>
      <w:r>
        <w:rPr>
          <w:rFonts w:ascii="Consolas" w:hAnsi="Consolas"/>
          <w:color w:val="404040"/>
          <w:sz w:val="18"/>
        </w:rPr>
        <w:t>Status</w:t>
      </w:r>
      <w:r>
        <w:t xml:space="preserve"> après chaque vérification.</w:t>
      </w:r>
    </w:p>
    <w:p>
      <w:pPr>
        <w:ind w:left="113" w:hanging="113"/>
      </w:pPr>
      <w:r>
        <w:t>11. Ne considérer l’instance prête que lorsque les blocages ont été traités et que les contrôles indispensables ont une conclusion explicite.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 xml:space="preserve">17. Exemples de saisie dans </w:t>
      </w:r>
      <w:r>
        <w:rPr>
          <w:rFonts w:ascii="Consolas" w:hAnsi="Consolas"/>
          <w:color w:val="404040"/>
          <w:sz w:val="18"/>
        </w:rPr>
        <w:t>Readiness</w:t>
      </w:r>
    </w:p>
    <w:p>
      <w:pPr>
        <w:pStyle w:val="Heading1"/>
      </w:pPr>
      <w:r>
        <w:t>Exemple A — Java</w:t>
      </w:r>
    </w:p>
    <w:p>
      <w:pPr>
        <w:pStyle w:val="CodeBlock"/>
        <w:shd w:fill="F2F2F2"/>
      </w:pPr>
      <w:r>
        <w:t>Current Value              17.0.20.1</w:t>
        <w:br/>
        <w:t>Target / Expected          Java supporté par Jira cible</w:t>
        <w:br/>
        <w:t>Version / valeur retenue   Temurin 21</w:t>
        <w:br/>
        <w:t>Lien / source              Documentation Atlassian / package interne</w:t>
        <w:br/>
        <w:t>Status                     PASS une fois installé/validé sur l’environnement prévu</w:t>
      </w:r>
    </w:p>
    <w:p>
      <w:pPr>
        <w:pStyle w:val="Heading1"/>
      </w:pPr>
      <w:r>
        <w:t>Exemple B — Backup</w:t>
      </w:r>
    </w:p>
    <w:p>
      <w:pPr>
        <w:pStyle w:val="CodeBlock"/>
        <w:shd w:fill="F2F2F2"/>
      </w:pPr>
      <w:r>
        <w:t>Current Value              Non renseigné</w:t>
        <w:br/>
        <w:t>Version / valeur retenue   Backup DB + JIRA_HOME validés le 16/09/2026</w:t>
        <w:br/>
        <w:t>Lien / source              INC/CHG/KB ou chemin de procédure</w:t>
        <w:br/>
        <w:t>Status                     PASS</w:t>
      </w:r>
    </w:p>
    <w:p>
      <w:pPr>
        <w:pStyle w:val="Heading1"/>
      </w:pPr>
      <w:r>
        <w:t>Exemple C — application sans version pont</w:t>
      </w:r>
    </w:p>
    <w:p>
      <w:pPr>
        <w:pStyle w:val="CodeBlock"/>
        <w:shd w:fill="F2F2F2"/>
      </w:pPr>
      <w:r>
        <w:t>Current Value              App X 5.0</w:t>
        <w:br/>
        <w:t>Target / Expected          Version compatible Jira cible</w:t>
        <w:br/>
        <w:t>Version / valeur retenue   App X 6.0</w:t>
        <w:br/>
        <w:t>Lien / source              Lien public Marketplace / éditeur</w:t>
        <w:br/>
        <w:t>Status                     WARNING avant exécution</w:t>
        <w:br/>
        <w:t>Action                     Disable -&gt; Jira upgrade -&gt; app upgrade -&gt; enable -&gt; tests</w:t>
      </w:r>
    </w:p>
    <w:p>
      <w:r>
        <w:t xml:space="preserve">Le </w:t>
      </w:r>
      <w:r>
        <w:rPr>
          <w:rFonts w:ascii="Consolas" w:hAnsi="Consolas"/>
          <w:color w:val="404040"/>
          <w:sz w:val="18"/>
        </w:rPr>
        <w:t>WARNING</w:t>
      </w:r>
      <w:r>
        <w:t xml:space="preserve"> disparaît seulement si le projet décide de mettre à jour le statut après exécution/validation et si cela correspond au processus de gouvernance retenu.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18. Ce qu’il ne faut pas faire</w:t>
      </w:r>
    </w:p>
    <w:p>
      <w:pPr>
        <w:pStyle w:val="ListBullet"/>
        <w:ind w:left="340"/>
      </w:pPr>
      <w:r>
        <w:t xml:space="preserve">Ne pas interpréter </w:t>
      </w:r>
      <w:r>
        <w:rPr>
          <w:rFonts w:ascii="Consolas" w:hAnsi="Consolas"/>
          <w:color w:val="404040"/>
          <w:sz w:val="18"/>
        </w:rPr>
        <w:t>UNKNOWN</w:t>
      </w:r>
      <w:r>
        <w:t xml:space="preserve"> comme </w:t>
      </w:r>
      <w:r>
        <w:rPr>
          <w:rFonts w:ascii="Consolas" w:hAnsi="Consolas"/>
          <w:color w:val="404040"/>
          <w:sz w:val="18"/>
        </w:rPr>
        <w:t>FAIL</w:t>
      </w:r>
      <w:r>
        <w:t>.</w:t>
      </w:r>
    </w:p>
    <w:p>
      <w:pPr>
        <w:pStyle w:val="ListBullet"/>
        <w:ind w:left="340"/>
      </w:pPr>
      <w:r>
        <w:t xml:space="preserve">Ne pas interpréter </w:t>
      </w:r>
      <w:r>
        <w:rPr>
          <w:rFonts w:ascii="Consolas" w:hAnsi="Consolas"/>
          <w:color w:val="404040"/>
          <w:sz w:val="18"/>
        </w:rPr>
        <w:t>NOT_ASSESSED</w:t>
      </w:r>
      <w:r>
        <w:t xml:space="preserve"> comme « non compatible ».</w:t>
      </w:r>
    </w:p>
    <w:p>
      <w:pPr>
        <w:pStyle w:val="ListBullet"/>
        <w:ind w:left="340"/>
      </w:pPr>
      <w:r>
        <w:t xml:space="preserve">Ne pas installer automatiquement la </w:t>
      </w:r>
      <w:r>
        <w:rPr>
          <w:rFonts w:ascii="Consolas" w:hAnsi="Consolas"/>
          <w:color w:val="404040"/>
          <w:sz w:val="18"/>
        </w:rPr>
        <w:t>Latest Source-Compatible Version</w:t>
      </w:r>
      <w:r>
        <w:t xml:space="preserve"> : elle est informative.</w:t>
      </w:r>
    </w:p>
    <w:p>
      <w:pPr>
        <w:pStyle w:val="ListBullet"/>
        <w:ind w:left="340"/>
      </w:pPr>
      <w:r>
        <w:t>Ne pas forcer une app bundlée dans la logique de version pont Marketplace.</w:t>
      </w:r>
    </w:p>
    <w:p>
      <w:pPr>
        <w:pStyle w:val="ListBullet"/>
        <w:ind w:left="340"/>
      </w:pPr>
      <w:r>
        <w:t xml:space="preserve">Ne pas modifier la </w:t>
      </w:r>
      <w:r>
        <w:rPr>
          <w:rFonts w:ascii="Consolas" w:hAnsi="Consolas"/>
          <w:color w:val="404040"/>
          <w:sz w:val="18"/>
        </w:rPr>
        <w:t>Baseline</w:t>
      </w:r>
      <w:r>
        <w:t xml:space="preserve"> pour faire disparaître une anomalie.</w:t>
      </w:r>
    </w:p>
    <w:p>
      <w:pPr>
        <w:pStyle w:val="ListBullet"/>
        <w:ind w:left="340"/>
      </w:pPr>
      <w:r>
        <w:t xml:space="preserve">Ne pas committer </w:t>
      </w:r>
      <w:r>
        <w:rPr>
          <w:rFonts w:ascii="Consolas" w:hAnsi="Consolas"/>
          <w:color w:val="404040"/>
          <w:sz w:val="18"/>
        </w:rPr>
        <w:t>.env</w:t>
      </w:r>
      <w:r>
        <w:t xml:space="preserve"> ou les tokens.</w:t>
      </w:r>
    </w:p>
    <w:p>
      <w:pPr>
        <w:pStyle w:val="ListBullet"/>
        <w:ind w:left="340"/>
      </w:pPr>
      <w:r>
        <w:t xml:space="preserve">Ne pas supposer que </w:t>
      </w:r>
      <w:r>
        <w:rPr>
          <w:rFonts w:ascii="Consolas" w:hAnsi="Consolas"/>
          <w:color w:val="404040"/>
          <w:sz w:val="18"/>
        </w:rPr>
        <w:t>PASS</w:t>
      </w:r>
      <w:r>
        <w:t xml:space="preserve"> dans </w:t>
      </w:r>
      <w:r>
        <w:rPr>
          <w:rFonts w:ascii="Consolas" w:hAnsi="Consolas"/>
          <w:color w:val="404040"/>
          <w:sz w:val="18"/>
        </w:rPr>
        <w:t>App Compatibility</w:t>
      </w:r>
      <w:r>
        <w:t xml:space="preserve"> remplace les tests fonctionnels POST.</w:t>
      </w:r>
    </w:p>
    <w:p>
      <w:pPr>
        <w:pStyle w:val="ListBullet"/>
        <w:ind w:left="340"/>
      </w:pPr>
      <w:r>
        <w:t xml:space="preserve">Ne pas croire que </w:t>
      </w:r>
      <w:r>
        <w:rPr>
          <w:rFonts w:ascii="Consolas" w:hAnsi="Consolas"/>
          <w:color w:val="404040"/>
          <w:sz w:val="18"/>
        </w:rPr>
        <w:t>compare</w:t>
      </w:r>
      <w:r>
        <w:t xml:space="preserve"> reprend les décisions saisies manuellement dans l’Excel PRE.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19. Workflow opérationnel conseillé</w:t>
      </w:r>
    </w:p>
    <w:p>
      <w:pPr>
        <w:pStyle w:val="CodeBlock"/>
        <w:shd w:fill="F2F2F2"/>
      </w:pPr>
      <w:r>
        <w:t>PRE automatique</w:t>
        <w:br/>
        <w:t xml:space="preserve">   ↓</w:t>
        <w:br/>
        <w:t>Readiness manuel + décisions</w:t>
        <w:br/>
        <w:t xml:space="preserve">   ↓</w:t>
        <w:br/>
        <w:t>Go répétition clone</w:t>
        <w:br/>
        <w:t xml:space="preserve">   ↓</w:t>
        <w:br/>
        <w:t>Upgrade clone</w:t>
        <w:br/>
        <w:t xml:space="preserve">   ↓</w:t>
        <w:br/>
        <w:t>POST</w:t>
        <w:br/>
        <w:t xml:space="preserve">   ↓</w:t>
        <w:br/>
        <w:t>COMPARE</w:t>
        <w:br/>
        <w:t xml:space="preserve">   ↓</w:t>
        <w:br/>
        <w:t>Tests Jira + apps + SSO + intégrations</w:t>
        <w:br/>
        <w:t xml:space="preserve">   ↓</w:t>
        <w:br/>
        <w:t>Corrections</w:t>
        <w:br/>
        <w:t xml:space="preserve">   ↓</w:t>
        <w:br/>
        <w:t>Go / No-Go production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20. Checklist avant de fermer le PRE</w:t>
      </w:r>
    </w:p>
    <w:p>
      <w:pPr>
        <w:pStyle w:val="ListBullet"/>
        <w:ind w:left="340"/>
      </w:pPr>
      <w:r>
        <w:t xml:space="preserve">☐ Bonne instance / bonne cible vérifiées dans </w:t>
      </w:r>
      <w:r>
        <w:rPr>
          <w:rFonts w:ascii="Consolas" w:hAnsi="Consolas"/>
          <w:color w:val="404040"/>
          <w:sz w:val="18"/>
        </w:rPr>
        <w:t>Summary</w:t>
      </w:r>
    </w:p>
    <w:p>
      <w:pPr>
        <w:pStyle w:val="ListBullet"/>
        <w:ind w:left="340"/>
      </w:pPr>
      <w:r>
        <w:t xml:space="preserve">☐ Aucun </w:t>
      </w:r>
      <w:r>
        <w:rPr>
          <w:rFonts w:ascii="Consolas" w:hAnsi="Consolas"/>
          <w:color w:val="404040"/>
          <w:sz w:val="18"/>
        </w:rPr>
        <w:t>FAIL</w:t>
      </w:r>
      <w:r>
        <w:t xml:space="preserve"> non traité</w:t>
      </w:r>
    </w:p>
    <w:p>
      <w:pPr>
        <w:pStyle w:val="ListBullet"/>
        <w:ind w:left="340"/>
      </w:pPr>
      <w:r>
        <w:t xml:space="preserve">☐ Tous les </w:t>
      </w:r>
      <w:r>
        <w:rPr>
          <w:rFonts w:ascii="Consolas" w:hAnsi="Consolas"/>
          <w:color w:val="404040"/>
          <w:sz w:val="18"/>
        </w:rPr>
        <w:t>UNKNOWN</w:t>
      </w:r>
      <w:r>
        <w:t xml:space="preserve"> critiques investigués</w:t>
      </w:r>
    </w:p>
    <w:p>
      <w:pPr>
        <w:pStyle w:val="ListBullet"/>
        <w:ind w:left="340"/>
      </w:pPr>
      <w:r>
        <w:t xml:space="preserve">☐ Tous les </w:t>
      </w:r>
      <w:r>
        <w:rPr>
          <w:rFonts w:ascii="Consolas" w:hAnsi="Consolas"/>
          <w:color w:val="404040"/>
          <w:sz w:val="18"/>
        </w:rPr>
        <w:t>NOT_ASSESSED</w:t>
      </w:r>
      <w:r>
        <w:t xml:space="preserve"> indispensables traités</w:t>
      </w:r>
    </w:p>
    <w:p>
      <w:pPr>
        <w:pStyle w:val="ListBullet"/>
        <w:ind w:left="340"/>
      </w:pPr>
      <w:r>
        <w:t>☐ Java cible retenu</w:t>
      </w:r>
    </w:p>
    <w:p>
      <w:pPr>
        <w:pStyle w:val="ListBullet"/>
        <w:ind w:left="340"/>
      </w:pPr>
      <w:r>
        <w:t>☐ DB / JDBC / OS validés</w:t>
      </w:r>
    </w:p>
    <w:p>
      <w:pPr>
        <w:pStyle w:val="ListBullet"/>
        <w:ind w:left="340"/>
      </w:pPr>
      <w:r>
        <w:t>☐ Apps tierces : stratégie définie</w:t>
      </w:r>
    </w:p>
    <w:p>
      <w:pPr>
        <w:pStyle w:val="ListBullet"/>
        <w:ind w:left="340"/>
      </w:pPr>
      <w:r>
        <w:t>☐ Apps bundlées comprises et tests POST prévus</w:t>
      </w:r>
    </w:p>
    <w:p>
      <w:pPr>
        <w:pStyle w:val="ListBullet"/>
        <w:ind w:left="340"/>
      </w:pPr>
      <w:r>
        <w:t>☐ Backup DB validé</w:t>
      </w:r>
    </w:p>
    <w:p>
      <w:pPr>
        <w:pStyle w:val="ListBullet"/>
        <w:ind w:left="340"/>
      </w:pPr>
      <w:r>
        <w:t>☐ Backup JIRA_HOME validé</w:t>
      </w:r>
    </w:p>
    <w:p>
      <w:pPr>
        <w:pStyle w:val="ListBullet"/>
        <w:ind w:left="340"/>
      </w:pPr>
      <w:r>
        <w:t>☐ Rollback documenté</w:t>
      </w:r>
    </w:p>
    <w:p>
      <w:pPr>
        <w:pStyle w:val="ListBullet"/>
        <w:ind w:left="340"/>
      </w:pPr>
      <w:r>
        <w:t>☐ Clone isolé</w:t>
      </w:r>
    </w:p>
    <w:p>
      <w:pPr>
        <w:pStyle w:val="ListBullet"/>
        <w:ind w:left="340"/>
      </w:pPr>
      <w:r>
        <w:t>☐ SMTP / Automation / webhooks / intégrations neutralisés selon besoin</w:t>
      </w:r>
    </w:p>
    <w:p>
      <w:pPr>
        <w:pStyle w:val="ListBullet"/>
        <w:ind w:left="340"/>
      </w:pPr>
      <w:r>
        <w:t>☐ Accès serveur / DB / Jira confirmés</w:t>
      </w:r>
    </w:p>
    <w:p>
      <w:pPr>
        <w:pStyle w:val="ListBullet"/>
        <w:ind w:left="340"/>
      </w:pPr>
      <w:r>
        <w:t>☐ Plan de tests PRE/POST prêt</w:t>
      </w:r>
    </w:p>
    <w:p>
      <w:pPr>
        <w:pStyle w:val="ListBullet"/>
        <w:ind w:left="340"/>
      </w:pPr>
      <w:r>
        <w:t>☐ Critères Go / No-Go définis</w:t>
      </w:r>
    </w:p>
    <w:p>
      <w:pPr>
        <w:pStyle w:val="ListBullet"/>
        <w:ind w:left="340"/>
      </w:pPr>
      <w:r>
        <w:t>☐ Preuves et liens renseignés dans le Readiness</w:t>
      </w:r>
    </w:p>
    <w:p/>
    <w:p>
      <w:pPr>
        <w:shd w:fill="F2F2F2"/>
      </w:pPr>
      <w:r>
        <w:rPr>
          <w:color w:val="666666"/>
          <w:sz w:val="17"/>
        </w:rPr>
        <w:t>Document JiraUpgradeBaselineToolkit - version 0.2 - 16 septembre 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