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Arial" w:hAnsi="Arial"/>
          <w:b/>
          <w:color w:val="0F172A"/>
          <w:sz w:val="108"/>
        </w:rPr>
        <w:t>وضوح</w:t>
      </w:r>
    </w:p>
    <w:p>
      <w:pPr>
        <w:spacing w:after="600"/>
        <w:jc w:val="center"/>
      </w:pPr>
      <w:r>
        <w:rPr>
          <w:rFonts w:ascii="Arial" w:hAnsi="Arial"/>
          <w:color w:val="1B4FD8"/>
          <w:sz w:val="36"/>
        </w:rPr>
        <w:t>WUDUH</w:t>
      </w:r>
    </w:p>
    <w:p>
      <w:pPr>
        <w:spacing w:after="400"/>
        <w:jc w:val="center"/>
      </w:pPr>
      <w:r>
        <w:rPr>
          <w:rFonts w:ascii="Arial" w:hAnsi="Arial"/>
          <w:b/>
          <w:color w:val="64748B"/>
          <w:sz w:val="44"/>
        </w:rPr>
        <w:t>دراسة الجدوى التجارية والمالية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B4FD8"/>
                <w:sz w:val="52"/>
              </w:rPr>
              <w:t>$89.8M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20"/>
              </w:rPr>
              <w:t>حجم السوق السعودي 2024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64748B"/>
                <w:sz w:val="18"/>
              </w:rPr>
              <w:t>إدارة المشاريع</w:t>
            </w:r>
          </w:p>
        </w:tc>
        <w:tc>
          <w:tcPr>
            <w:tcW w:type="dxa" w:w="2835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B4FD8"/>
                <w:sz w:val="52"/>
              </w:rPr>
              <w:t>14.7%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20"/>
              </w:rPr>
              <w:t>معدل النمو السنوي CAGR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64748B"/>
                <w:sz w:val="18"/>
              </w:rPr>
              <w:t>حتى 2030</w:t>
            </w:r>
          </w:p>
        </w:tc>
        <w:tc>
          <w:tcPr>
            <w:tcW w:type="dxa" w:w="2835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B4FD8"/>
                <w:sz w:val="52"/>
              </w:rPr>
              <w:t>500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20"/>
              </w:rPr>
              <w:t>المستهدف السنة الأولى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64748B"/>
                <w:sz w:val="18"/>
              </w:rPr>
              <w:t>مشترك مدفوع</w:t>
            </w:r>
          </w:p>
        </w:tc>
      </w:tr>
    </w:tbl>
    <w:p>
      <w:pPr>
        <w:spacing w:before="60" w:after="120"/>
        <w:jc w:val="right"/>
      </w:pPr>
      <w:r>
        <w:rPr>
          <w:rFonts w:ascii="Arial" w:hAnsi="Arial"/>
          <w:b w:val="0"/>
          <w:color w:val="64748B"/>
          <w:sz w:val="20"/>
        </w:rPr>
        <w:t>يونيو 2026  |  سري وخاص</w:t>
      </w:r>
    </w:p>
    <w:p>
      <w:r>
        <w:br w:type="page"/>
      </w:r>
    </w:p>
    <w:p>
      <w:pPr>
        <w:spacing w:before="400" w:after="160"/>
        <w:jc w:val="right"/>
      </w:pPr>
      <w:r>
        <w:rPr>
          <w:rFonts w:ascii="Arial" w:hAnsi="Arial"/>
          <w:b/>
          <w:color w:val="0F172A"/>
          <w:sz w:val="36"/>
        </w:rPr>
        <w:t>١. الملخص التنفيذي</w:t>
      </w:r>
    </w:p>
    <w:p>
      <w:pPr>
        <w:spacing w:before="60" w:after="120"/>
        <w:jc w:val="right"/>
      </w:pPr>
      <w:r>
        <w:rPr>
          <w:rFonts w:ascii="Arial" w:hAnsi="Arial"/>
          <w:b w:val="0"/>
          <w:sz w:val="22"/>
        </w:rPr>
        <w:t>وضوح منصة SaaS عربية تستخدم الذكاء الاصطناعي لتوليد وثائق إدارة المشاريع (PMBOK 7) تلقائياً. المستخدم يُدخل بيانات مشروعه فيحصل في دقائق على: ميثاق مشروع، سجل مخاطر، مخطط Gantt، خطة اتصالات، وتقارير الحالة — بصيغ PDF وWord وExcel وPowerPoint باللغة العربية.</w:t>
      </w:r>
    </w:p>
    <w:p>
      <w:pPr>
        <w:spacing w:before="60" w:after="120"/>
        <w:jc w:val="right"/>
      </w:pPr>
      <w:r>
        <w:rPr>
          <w:rFonts w:ascii="Arial" w:hAnsi="Arial"/>
          <w:b w:val="0"/>
          <w:sz w:val="22"/>
        </w:rPr>
        <w:t>الميزة الجوهرية: لا يوجد حالياً أي منتج يجمع بين العربية الكاملة ومعيار PMBOK 7 والتوليد التلقائي للوثائق في منصة واحدة. وضوح يملأ هذه الفجوة في سوق تقدّر قيمته بـ89.8 مليون دولار في السعودية وحدها، ومتوقع أن يصل 233.8 مليون دولار بحلول 2030.</w:t>
      </w:r>
    </w:p>
    <w:p>
      <w:pPr>
        <w:spacing w:before="160" w:after="160"/>
        <w:pBdr>
          <w:bottom w:val="single" w:sz="4" w:space="1" w:color="CBD5E1"/>
        </w:pBdr>
      </w:pPr>
    </w:p>
    <w:p>
      <w:pPr>
        <w:spacing w:before="400" w:after="160"/>
        <w:jc w:val="right"/>
      </w:pPr>
      <w:r>
        <w:rPr>
          <w:rFonts w:ascii="Arial" w:hAnsi="Arial"/>
          <w:b/>
          <w:color w:val="0F172A"/>
          <w:sz w:val="36"/>
        </w:rPr>
        <w:t>٢. المشكلة والحل</w:t>
      </w:r>
    </w:p>
    <w:p>
      <w:pPr>
        <w:spacing w:before="280" w:after="160"/>
        <w:jc w:val="right"/>
      </w:pPr>
      <w:r>
        <w:rPr>
          <w:rFonts w:ascii="Arial" w:hAnsi="Arial"/>
          <w:b/>
          <w:color w:val="1B4FD8"/>
          <w:sz w:val="28"/>
        </w:rPr>
        <w:t>٢.١ المشكلة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مديرو المشاريع في السعودية يقضون 30-40% من وقتهم في إعداد وثائق يدوياً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الأدوات العالمية (Monday، Asana، ClickUp) لا تدعم العربية بالكامل ولا تولّد وثائق PMBOK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الأدوات المحلية بدائية وتفتقر للذكاء الاصطناعي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تكلفة توظيف PMO متخصص تبدأ من 15,000 ريال/شهر — خارج متناول الشركات المتوسطة</w:t>
      </w:r>
    </w:p>
    <w:p>
      <w:pPr>
        <w:spacing w:before="280" w:after="160"/>
        <w:jc w:val="right"/>
      </w:pPr>
      <w:r>
        <w:rPr>
          <w:rFonts w:ascii="Arial" w:hAnsi="Arial"/>
          <w:b/>
          <w:color w:val="1B4FD8"/>
          <w:sz w:val="28"/>
        </w:rPr>
        <w:t>٢.٢ الحل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إدخال بيانات المشروع مرة واحدة (5 دقائق) ثم الذكاء الاصطناعي يولّد كامل وثائق المشروع فوراً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العربية الكاملة + معيار PMBOK 7 + تصدير بكل الصيغ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إدارة فريق العمل والأقسام والمؤسسة من لوحة تحكم موحّدة</w:t>
      </w:r>
    </w:p>
    <w:p>
      <w:pPr>
        <w:spacing w:before="160" w:after="160"/>
        <w:pBdr>
          <w:bottom w:val="single" w:sz="4" w:space="1" w:color="CBD5E1"/>
        </w:pBdr>
      </w:pPr>
    </w:p>
    <w:p>
      <w:pPr>
        <w:spacing w:before="400" w:after="160"/>
        <w:jc w:val="right"/>
      </w:pPr>
      <w:r>
        <w:rPr>
          <w:rFonts w:ascii="Arial" w:hAnsi="Arial"/>
          <w:b/>
          <w:color w:val="0F172A"/>
          <w:sz w:val="36"/>
        </w:rPr>
        <w:t>٣. دراسة السوق</w:t>
      </w:r>
    </w:p>
    <w:p>
      <w:pPr>
        <w:spacing w:before="280" w:after="160"/>
        <w:jc w:val="right"/>
      </w:pPr>
      <w:r>
        <w:rPr>
          <w:rFonts w:ascii="Arial" w:hAnsi="Arial"/>
          <w:b/>
          <w:color w:val="1B4FD8"/>
          <w:sz w:val="28"/>
        </w:rPr>
        <w:t>٣.١ حجم السوق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2835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المؤشر</w:t>
            </w:r>
          </w:p>
        </w:tc>
        <w:tc>
          <w:tcPr>
            <w:tcW w:type="dxa" w:w="2835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2024</w:t>
            </w:r>
          </w:p>
        </w:tc>
        <w:tc>
          <w:tcPr>
            <w:tcW w:type="dxa" w:w="2835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2030 (متوقع)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سوق PM Software السعودي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$89.8M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b/>
                <w:color w:val="1B4FD8"/>
                <w:sz w:val="20"/>
              </w:rPr>
              <w:t>$233.8M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سوق PM Software الخليج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$310M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$750M+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معدل النمو السنوي (CAGR)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b/>
                <w:color w:val="1B4FD8"/>
                <w:sz w:val="20"/>
              </w:rPr>
              <w:t>14.7%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مشاريع رؤية 2030 النشطة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+5,000 مشروع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+12,000</w:t>
            </w:r>
          </w:p>
        </w:tc>
      </w:tr>
    </w:tbl>
    <w:p>
      <w:pPr>
        <w:spacing w:before="280" w:after="160"/>
        <w:jc w:val="right"/>
      </w:pPr>
      <w:r>
        <w:rPr>
          <w:rFonts w:ascii="Arial" w:hAnsi="Arial"/>
          <w:b/>
          <w:color w:val="1B4FD8"/>
          <w:sz w:val="28"/>
        </w:rPr>
        <w:t>٣.٢ الشريحة المستهدفة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مديرو مشاريع أفراد ومستقلون (60% من العملاء المتوقعين)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شركات المقاولات والإنشاءات الصغيرة والمتوسطة (20%)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شركات التقنية والاستشارات (15%)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الجهات الحكومية وشبه الحكومية (5% — قيمة عالية)</w:t>
      </w:r>
    </w:p>
    <w:p>
      <w:pPr>
        <w:spacing w:before="280" w:after="160"/>
        <w:jc w:val="right"/>
      </w:pPr>
      <w:r>
        <w:rPr>
          <w:rFonts w:ascii="Arial" w:hAnsi="Arial"/>
          <w:b/>
          <w:color w:val="1B4FD8"/>
          <w:sz w:val="28"/>
        </w:rPr>
        <w:t>٣.٣ دوافع النمو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رؤية 2030 تُلزم المشاريع بتوثيق احترافي لصرف التمويل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نمو سوق العمل الحر 45% سنوياً في السعودية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حملات التحول الرقمي في القطاعين العام والخاص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ارتفاع تكاليف PMO الداخلي يدفع نحو الحلول البرمجية</w:t>
      </w:r>
    </w:p>
    <w:p>
      <w:pPr>
        <w:spacing w:before="160" w:after="160"/>
        <w:pBdr>
          <w:bottom w:val="single" w:sz="4" w:space="1" w:color="CBD5E1"/>
        </w:pBdr>
      </w:pPr>
    </w:p>
    <w:p>
      <w:pPr>
        <w:spacing w:before="400" w:after="160"/>
        <w:jc w:val="right"/>
      </w:pPr>
      <w:r>
        <w:rPr>
          <w:rFonts w:ascii="Arial" w:hAnsi="Arial"/>
          <w:b/>
          <w:color w:val="0F172A"/>
          <w:sz w:val="36"/>
        </w:rPr>
        <w:t>٤. التحليل التنافسي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1417"/>
            <w:shd w:val="clear" w:color="auto" w:fill="0F172A"/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المنصة</w:t>
            </w:r>
          </w:p>
        </w:tc>
        <w:tc>
          <w:tcPr>
            <w:tcW w:type="dxa" w:w="1417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عربي كامل</w:t>
            </w:r>
          </w:p>
        </w:tc>
        <w:tc>
          <w:tcPr>
            <w:tcW w:type="dxa" w:w="1417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PMBOK 7</w:t>
            </w:r>
          </w:p>
        </w:tc>
        <w:tc>
          <w:tcPr>
            <w:tcW w:type="dxa" w:w="1417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 وثائق</w:t>
            </w:r>
          </w:p>
        </w:tc>
        <w:tc>
          <w:tcPr>
            <w:tcW w:type="dxa" w:w="1417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السعر/شهر</w:t>
            </w:r>
          </w:p>
        </w:tc>
        <w:tc>
          <w:tcPr>
            <w:tcW w:type="dxa" w:w="1417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محلي</w:t>
            </w:r>
          </w:p>
        </w:tc>
      </w:tr>
      <w:tr>
        <w:tc>
          <w:tcPr>
            <w:tcW w:type="dxa" w:w="1417"/>
            <w:shd w:val="clear" w:color="auto" w:fill="DBEAFE"/>
          </w:tcPr>
          <w:p>
            <w:pPr>
              <w:jc w:val="right"/>
            </w:pPr>
            <w:r>
              <w:rPr>
                <w:rFonts w:ascii="Arial" w:hAnsi="Arial"/>
                <w:b/>
                <w:color w:val="1B4FD8"/>
                <w:sz w:val="20"/>
              </w:rPr>
              <w:t>وضوح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149-999 ر.س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✅</w:t>
            </w:r>
          </w:p>
        </w:tc>
      </w:tr>
      <w:tr>
        <w:tc>
          <w:tcPr>
            <w:tcW w:type="dxa" w:w="1417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Monday.com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جزئي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$9-$19/مستخدم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</w:tr>
      <w:tr>
        <w:tc>
          <w:tcPr>
            <w:tcW w:type="dxa" w:w="1417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Asana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$10-$24/مستخدم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</w:tr>
      <w:tr>
        <w:tc>
          <w:tcPr>
            <w:tcW w:type="dxa" w:w="1417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ClickUp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$7-$19/مستخدم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</w:tr>
      <w:tr>
        <w:tc>
          <w:tcPr>
            <w:tcW w:type="dxa" w:w="1417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Manzoma / Utask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مجاني/محدود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✅</w:t>
            </w:r>
          </w:p>
        </w:tc>
      </w:tr>
    </w:tbl>
    <w:p>
      <w:pPr>
        <w:spacing w:before="60" w:after="120"/>
        <w:jc w:val="right"/>
      </w:pPr>
      <w:r>
        <w:rPr>
          <w:rFonts w:ascii="Arial" w:hAnsi="Arial"/>
          <w:b/>
          <w:color w:val="1B4FD8"/>
          <w:sz w:val="22"/>
        </w:rPr>
        <w:t>الخلاصة: وضوح هو المنتج الوحيد الذي يجمع: عربي كامل + PMBOK 7 + توليد وثائق AI.</w:t>
      </w:r>
    </w:p>
    <w:p>
      <w:pPr>
        <w:spacing w:before="160" w:after="160"/>
        <w:pBdr>
          <w:bottom w:val="single" w:sz="4" w:space="1" w:color="CBD5E1"/>
        </w:pBdr>
      </w:pPr>
    </w:p>
    <w:p>
      <w:pPr>
        <w:spacing w:before="400" w:after="160"/>
        <w:jc w:val="right"/>
      </w:pPr>
      <w:r>
        <w:rPr>
          <w:rFonts w:ascii="Arial" w:hAnsi="Arial"/>
          <w:b/>
          <w:color w:val="0F172A"/>
          <w:sz w:val="36"/>
        </w:rPr>
        <w:t>٥. الخطة المالية</w:t>
      </w:r>
    </w:p>
    <w:p>
      <w:pPr>
        <w:spacing w:before="280" w:after="160"/>
        <w:jc w:val="right"/>
      </w:pPr>
      <w:r>
        <w:rPr>
          <w:rFonts w:ascii="Arial" w:hAnsi="Arial"/>
          <w:b/>
          <w:color w:val="1B4FD8"/>
          <w:sz w:val="28"/>
        </w:rPr>
        <w:t>٥.١ هيكل التسعير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701"/>
            <w:shd w:val="clear" w:color="auto" w:fill="0F172A"/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الميزة</w:t>
            </w:r>
          </w:p>
        </w:tc>
        <w:tc>
          <w:tcPr>
            <w:tcW w:type="dxa" w:w="1701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مجاني</w:t>
            </w:r>
          </w:p>
        </w:tc>
        <w:tc>
          <w:tcPr>
            <w:tcW w:type="dxa" w:w="1701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مبتدئ 149 ر.س/شهر</w:t>
            </w:r>
          </w:p>
        </w:tc>
        <w:tc>
          <w:tcPr>
            <w:tcW w:type="dxa" w:w="1701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احترافي 399 ر.س/شهر</w:t>
            </w:r>
          </w:p>
        </w:tc>
        <w:tc>
          <w:tcPr>
            <w:tcW w:type="dxa" w:w="1701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مؤسسي 999 ر.س/شهر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المشاريع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غير محدود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مخرجات AI/شهر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غير محدود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صيغ التصدير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PDF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PDF, DOCX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الكل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الكل + API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أقسام وأعضاء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✅ غير محدود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شعار الشركة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✅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✅</w:t>
            </w:r>
          </w:p>
        </w:tc>
      </w:tr>
    </w:tbl>
    <w:p>
      <w:pPr>
        <w:spacing w:before="280" w:after="160"/>
        <w:jc w:val="right"/>
      </w:pPr>
      <w:r>
        <w:rPr>
          <w:rFonts w:ascii="Arial" w:hAnsi="Arial"/>
          <w:b/>
          <w:color w:val="1B4FD8"/>
          <w:sz w:val="28"/>
        </w:rPr>
        <w:t>٥.٢ التكاليف التشغيلية الشهرية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2835"/>
            <w:shd w:val="clear" w:color="auto" w:fill="0F172A"/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البند</w:t>
            </w:r>
          </w:p>
        </w:tc>
        <w:tc>
          <w:tcPr>
            <w:tcW w:type="dxa" w:w="2835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التكلفة/شهر</w:t>
            </w:r>
          </w:p>
        </w:tc>
        <w:tc>
          <w:tcPr>
            <w:tcW w:type="dxa" w:w="2835"/>
            <w:shd w:val="clear" w:color="auto" w:fill="0F172A"/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ملاحظة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Anthropic Claude API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~$50-200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يرتفع مع النمو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Supabase (قاعدة البيانات)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~$25-100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حسب الاستخدام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Vercel (الاستضافة)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~$20-50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Pro plan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Clerk (المصادقة)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~$25-100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حسب المستخدمين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Stripe (الدفع)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2.9% من كل معاملة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بدون رسوم ثابتة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b/>
                <w:color w:val="1B4FD8"/>
                <w:sz w:val="20"/>
              </w:rPr>
              <w:t>إجمالي التكاليف التقنية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~$170-500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مرحلة الإطلاق</w:t>
            </w:r>
          </w:p>
        </w:tc>
      </w:tr>
    </w:tbl>
    <w:p>
      <w:pPr>
        <w:spacing w:before="280" w:after="160"/>
        <w:jc w:val="right"/>
      </w:pPr>
      <w:r>
        <w:rPr>
          <w:rFonts w:ascii="Arial" w:hAnsi="Arial"/>
          <w:b/>
          <w:color w:val="1B4FD8"/>
          <w:sz w:val="28"/>
        </w:rPr>
        <w:t>٥.٣ توقعات الإيرادات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701"/>
            <w:shd w:val="clear" w:color="auto" w:fill="0F172A"/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المؤشر</w:t>
            </w:r>
          </w:p>
        </w:tc>
        <w:tc>
          <w:tcPr>
            <w:tcW w:type="dxa" w:w="1701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الشهر 3</w:t>
            </w:r>
          </w:p>
        </w:tc>
        <w:tc>
          <w:tcPr>
            <w:tcW w:type="dxa" w:w="1701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الشهر 6</w:t>
            </w:r>
          </w:p>
        </w:tc>
        <w:tc>
          <w:tcPr>
            <w:tcW w:type="dxa" w:w="1701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الشهر 12</w:t>
            </w:r>
          </w:p>
        </w:tc>
        <w:tc>
          <w:tcPr>
            <w:tcW w:type="dxa" w:w="1701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السنة 2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المشتركون المدفوعون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2,000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متوسط الإيراد/مشترك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200 ر.س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220 ر.س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250 ر.س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280 ر.س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الإيراد الشهري (MRR)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10,000 ر.س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33,000 ر.س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b/>
                <w:color w:val="1B4FD8"/>
                <w:sz w:val="20"/>
              </w:rPr>
              <w:t>125,000 ر.س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b/>
                <w:color w:val="1B4FD8"/>
                <w:sz w:val="20"/>
              </w:rPr>
              <w:t>560,000 ر.س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التكاليف التشغيلية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~3,000 ر.س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~6,000 ر.س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~15,000 ر.س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~50,000 ر.س</w:t>
            </w:r>
          </w:p>
        </w:tc>
      </w:tr>
      <w:tr>
        <w:tc>
          <w:tcPr>
            <w:tcW w:type="dxa" w:w="1701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هامش الربح الإجمالي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82%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b/>
                <w:color w:val="1B4FD8"/>
                <w:sz w:val="20"/>
              </w:rPr>
              <w:t>88%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/>
                <w:b/>
                <w:color w:val="1B4FD8"/>
                <w:sz w:val="20"/>
              </w:rPr>
              <w:t>91%</w:t>
            </w:r>
          </w:p>
        </w:tc>
      </w:tr>
    </w:tbl>
    <w:p>
      <w:pPr>
        <w:spacing w:before="60" w:after="120"/>
        <w:jc w:val="right"/>
      </w:pPr>
      <w:r>
        <w:rPr>
          <w:rFonts w:ascii="Arial" w:hAnsi="Arial"/>
          <w:b/>
          <w:color w:val="1B4FD8"/>
          <w:sz w:val="22"/>
        </w:rPr>
        <w:t>نقطة التعادل: ~35 مشترك مدفوع (تكاليف ثابتة ~7,000 ر.س ÷ متوسط إيراد 200 ر.س). قابل التحقق في الشهر الثاني.</w:t>
      </w:r>
    </w:p>
    <w:p>
      <w:pPr>
        <w:spacing w:before="160" w:after="160"/>
        <w:pBdr>
          <w:bottom w:val="single" w:sz="4" w:space="1" w:color="CBD5E1"/>
        </w:pBdr>
      </w:pPr>
    </w:p>
    <w:p>
      <w:pPr>
        <w:spacing w:before="400" w:after="160"/>
        <w:jc w:val="right"/>
      </w:pPr>
      <w:r>
        <w:rPr>
          <w:rFonts w:ascii="Arial" w:hAnsi="Arial"/>
          <w:b/>
          <w:color w:val="0F172A"/>
          <w:sz w:val="36"/>
        </w:rPr>
        <w:t>٦. الخطة التشغيلية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  <w:tr>
        <w:tc>
          <w:tcPr>
            <w:tcW w:type="dxa" w:w="2835"/>
            <w:shd w:val="clear" w:color="auto" w:fill="0F172A"/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المرحلة</w:t>
            </w:r>
          </w:p>
        </w:tc>
        <w:tc>
          <w:tcPr>
            <w:tcW w:type="dxa" w:w="2835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التوقيت</w:t>
            </w:r>
          </w:p>
        </w:tc>
        <w:tc>
          <w:tcPr>
            <w:tcW w:type="dxa" w:w="2835"/>
            <w:shd w:val="clear" w:color="auto" w:fill="0F172A"/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المحتوى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الإطلاق التجريبي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يوليو 2026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نشر Vercel، ربط Stripe، 20-30 مستخدم حقيقي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الإطلاق العام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أغسطس 2026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حملة تسويق، 100 مشترك مستهدف، تفعيل كل الخطط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التوسع الخليجي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Q4 2026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الكويت والإمارات، ميزة Branding + Templates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النضج المؤسسي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2027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API للتكامل المؤسسي، شراكات جهات اعتماد PM</w:t>
            </w:r>
          </w:p>
        </w:tc>
      </w:tr>
    </w:tbl>
    <w:p>
      <w:pPr>
        <w:spacing w:before="160" w:after="160"/>
        <w:pBdr>
          <w:bottom w:val="single" w:sz="4" w:space="1" w:color="CBD5E1"/>
        </w:pBdr>
      </w:pPr>
    </w:p>
    <w:p>
      <w:pPr>
        <w:spacing w:before="400" w:after="160"/>
        <w:jc w:val="right"/>
      </w:pPr>
      <w:r>
        <w:rPr>
          <w:rFonts w:ascii="Arial" w:hAnsi="Arial"/>
          <w:b/>
          <w:color w:val="0F172A"/>
          <w:sz w:val="36"/>
        </w:rPr>
        <w:t>٧. خطة التسويق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LinkedIn: محتوى تعليمي عن PMBOK وإدارة المشاريع (أعلى ROI في B2B السعودي)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X (تويتر): وصول عضوي عبر المحتوى العربي التقني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يوتيوب: شروحات عملية لتوليد وثائق PMBOK بوضوح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شراكة مع معاهد اعتماد PMP في السعودية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برنامج إحالة: 20% عمولة للمُحيل لأول 3 أشهر من عمر العضوية</w:t>
      </w:r>
    </w:p>
    <w:p>
      <w:pPr>
        <w:spacing w:before="160" w:after="160"/>
        <w:pBdr>
          <w:bottom w:val="single" w:sz="4" w:space="1" w:color="CBD5E1"/>
        </w:pBdr>
      </w:pPr>
    </w:p>
    <w:p>
      <w:pPr>
        <w:spacing w:before="400" w:after="160"/>
        <w:jc w:val="right"/>
      </w:pPr>
      <w:r>
        <w:rPr>
          <w:rFonts w:ascii="Arial" w:hAnsi="Arial"/>
          <w:b/>
          <w:color w:val="0F172A"/>
          <w:sz w:val="36"/>
        </w:rPr>
        <w:t>٨. تحليل المخاطر والمعالجة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</w:tr>
      <w:tr>
        <w:tc>
          <w:tcPr>
            <w:tcW w:type="dxa" w:w="2126"/>
            <w:shd w:val="clear" w:color="auto" w:fill="0F172A"/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الخطر</w:t>
            </w:r>
          </w:p>
        </w:tc>
        <w:tc>
          <w:tcPr>
            <w:tcW w:type="dxa" w:w="2126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الاحتمال</w:t>
            </w:r>
          </w:p>
        </w:tc>
        <w:tc>
          <w:tcPr>
            <w:tcW w:type="dxa" w:w="2126"/>
            <w:shd w:val="clear" w:color="auto" w:fill="0F172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التأثير</w:t>
            </w:r>
          </w:p>
        </w:tc>
        <w:tc>
          <w:tcPr>
            <w:tcW w:type="dxa" w:w="2126"/>
            <w:shd w:val="clear" w:color="auto" w:fill="0F172A"/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المعالجة</w:t>
            </w:r>
          </w:p>
        </w:tc>
      </w:tr>
      <w:tr>
        <w:tc>
          <w:tcPr>
            <w:tcW w:type="dxa" w:w="212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ارتفاع تكاليف API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متوسط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عالٍ</w:t>
            </w:r>
          </w:p>
        </w:tc>
        <w:tc>
          <w:tcPr>
            <w:tcW w:type="dxa" w:w="212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حدود استخدام حسب الخطة + spending limit على Anthropic</w:t>
            </w:r>
          </w:p>
        </w:tc>
      </w:tr>
      <w:tr>
        <w:tc>
          <w:tcPr>
            <w:tcW w:type="dxa" w:w="212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منافس عالمي بالعربية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منخفض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عالٍ</w:t>
            </w:r>
          </w:p>
        </w:tc>
        <w:tc>
          <w:tcPr>
            <w:tcW w:type="dxa" w:w="212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التركيز على PMBOK 7 المحلي + علاقات جهات الاعتماد</w:t>
            </w:r>
          </w:p>
        </w:tc>
      </w:tr>
      <w:tr>
        <w:tc>
          <w:tcPr>
            <w:tcW w:type="dxa" w:w="212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انخفاض جودة AI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منخفض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عالٍ</w:t>
            </w:r>
          </w:p>
        </w:tc>
        <w:tc>
          <w:tcPr>
            <w:tcW w:type="dxa" w:w="212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نظام تقييم + تحسين مستمر للـ Prompts</w:t>
            </w:r>
          </w:p>
        </w:tc>
      </w:tr>
      <w:tr>
        <w:tc>
          <w:tcPr>
            <w:tcW w:type="dxa" w:w="212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بطء الاكتساب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متوسط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متوسط</w:t>
            </w:r>
          </w:p>
        </w:tc>
        <w:tc>
          <w:tcPr>
            <w:tcW w:type="dxa" w:w="212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فريميوم + برنامج إحالة + شراكات استراتيجية</w:t>
            </w:r>
          </w:p>
        </w:tc>
      </w:tr>
      <w:tr>
        <w:tc>
          <w:tcPr>
            <w:tcW w:type="dxa" w:w="212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مشاكل أمان البيانات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منخفض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حرج</w:t>
            </w:r>
          </w:p>
        </w:tc>
        <w:tc>
          <w:tcPr>
            <w:tcW w:type="dxa" w:w="2126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Supabase RLS + تشفير + سياسة خصوصية</w:t>
            </w:r>
          </w:p>
        </w:tc>
      </w:tr>
    </w:tbl>
    <w:p>
      <w:pPr>
        <w:spacing w:before="160" w:after="160"/>
        <w:pBdr>
          <w:bottom w:val="single" w:sz="4" w:space="1" w:color="CBD5E1"/>
        </w:pBdr>
      </w:pPr>
    </w:p>
    <w:p>
      <w:pPr>
        <w:spacing w:before="400" w:after="160"/>
        <w:jc w:val="right"/>
      </w:pPr>
      <w:r>
        <w:rPr>
          <w:rFonts w:ascii="Arial" w:hAnsi="Arial"/>
          <w:b/>
          <w:color w:val="0F172A"/>
          <w:sz w:val="36"/>
        </w:rPr>
        <w:t>٩. المزايا التنافسية المستدامة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الأسبقية: أول منصة عربية لتوليد وثائق PMBOK 7 بالذكاء الاصطناعي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بيانات تدريبية: كلما زاد الاستخدام تحسّنت جودة المخرجات — صعب التقليد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تكلفة التحويل: بيانات المشاريع المخزّنة تُصعّب الانتقال للمنافس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التكامل المؤسسي: نظام أقسام + أعضاء + Branding يُعقّد البديل الفردي</w:t>
      </w:r>
    </w:p>
    <w:p>
      <w:pPr>
        <w:pStyle w:val="ListBullet"/>
        <w:spacing w:before="40" w:after="40"/>
        <w:jc w:val="right"/>
      </w:pPr>
      <w:r>
        <w:rPr>
          <w:rFonts w:ascii="Arial" w:hAnsi="Arial"/>
          <w:sz w:val="22"/>
        </w:rPr>
        <w:t>العلامة التجارية: "وضوح" — اسم يعكس الدقة والاحترافية في بيئة PMBOK</w:t>
      </w:r>
    </w:p>
    <w:p>
      <w:pPr>
        <w:spacing w:before="160" w:after="160"/>
        <w:pBdr>
          <w:bottom w:val="single" w:sz="4" w:space="1" w:color="CBD5E1"/>
        </w:pBdr>
      </w:pPr>
    </w:p>
    <w:p>
      <w:pPr>
        <w:spacing w:before="400" w:after="160"/>
        <w:jc w:val="right"/>
      </w:pPr>
      <w:r>
        <w:rPr>
          <w:rFonts w:ascii="Arial" w:hAnsi="Arial"/>
          <w:b/>
          <w:color w:val="0F172A"/>
          <w:sz w:val="36"/>
        </w:rPr>
        <w:t>١٠. الخلاصة والتوصية</w:t>
      </w:r>
    </w:p>
    <w:p>
      <w:pPr>
        <w:spacing w:before="60" w:after="120"/>
        <w:jc w:val="right"/>
      </w:pPr>
      <w:r>
        <w:rPr>
          <w:rFonts w:ascii="Arial" w:hAnsi="Arial"/>
          <w:b w:val="0"/>
          <w:sz w:val="22"/>
        </w:rPr>
        <w:t>وضوح يواجه فرصة سوقية حقيقية وكبيرة. التوقيت مثالي: رؤية 2030 تُنشئ طلباً غير مسبوق على التوثيق الاحترافي للمشاريع، والذكاء الاصطناعي أصبح ناضجاً بما يكفي لتقديم مخرجات عالية الجودة.</w:t>
      </w:r>
    </w:p>
    <w:p>
      <w:pPr>
        <w:spacing w:before="60" w:after="120"/>
        <w:jc w:val="right"/>
      </w:pPr>
      <w:r>
        <w:rPr>
          <w:rFonts w:ascii="Arial" w:hAnsi="Arial"/>
          <w:b w:val="0"/>
          <w:sz w:val="22"/>
        </w:rPr>
        <w:t>التكاليف التشغيلية منخفضة جداً (أقل من 2,000 ريال/شهر في البداية) مع هوامش ربح تصل 88%+ عند التشغيل الكامل. نقطة التعادل (35 مشترك) قابلة التحقيق في الشهرين الأولين.</w:t>
      </w:r>
    </w:p>
    <w:p>
      <w:pPr>
        <w:spacing w:before="60" w:after="120"/>
        <w:jc w:val="right"/>
      </w:pPr>
      <w:r>
        <w:rPr>
          <w:rFonts w:ascii="Arial" w:hAnsi="Arial"/>
          <w:b/>
          <w:color w:val="1B4FD8"/>
          <w:sz w:val="22"/>
        </w:rPr>
        <w:t>التوصية: المضي فوراً في الإطلاق. الفرصة قائمة الآن — أي تأخير يزيد احتمال دخول منافس.</w:t>
      </w:r>
    </w:p>
    <w:p>
      <w:pPr>
        <w:spacing w:before="600"/>
        <w:jc w:val="center"/>
        <w:pBdr>
          <w:top w:val="single" w:sz="6" w:space="1" w:color="1B4FD8"/>
        </w:pBdr>
      </w:pPr>
      <w:r>
        <w:rPr>
          <w:rFonts w:ascii="Arial" w:hAnsi="Arial"/>
          <w:b/>
          <w:i/>
          <w:color w:val="0F172A"/>
          <w:sz w:val="28"/>
        </w:rPr>
        <w:t>وضوح — الوضوح في كل مشروع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