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736191">
      <w:pPr>
        <w:jc w:val="center"/>
        <w:rPr>
          <w:rFonts w:cs="Times New Roman"/>
          <w:b/>
          <w:bCs/>
        </w:rPr>
      </w:pPr>
      <w:r w:rsidRPr="007B244E">
        <w:rPr>
          <w:rFonts w:cs="Times New Roman"/>
          <w:b/>
          <w:bCs/>
        </w:rPr>
        <w:t>Performance Assessment</w:t>
      </w:r>
    </w:p>
    <w:p w14:paraId="4A1E0CAD" w14:textId="7F3BCF0C" w:rsidR="00D51EA4" w:rsidRPr="00E459E5" w:rsidRDefault="00D51EA4" w:rsidP="00736191">
      <w:pPr>
        <w:ind w:firstLine="0"/>
        <w:jc w:val="center"/>
        <w:rPr>
          <w:rFonts w:cs="Times New Roman"/>
          <w:szCs w:val="24"/>
        </w:rPr>
      </w:pPr>
      <w:r w:rsidRPr="00E459E5">
        <w:rPr>
          <w:rFonts w:cs="Times New Roman"/>
          <w:szCs w:val="24"/>
        </w:rPr>
        <w:t>N</w:t>
      </w:r>
      <w:r w:rsidR="00E459E5" w:rsidRPr="00E459E5">
        <w:rPr>
          <w:rFonts w:cs="Times New Roman"/>
          <w:szCs w:val="24"/>
        </w:rPr>
        <w:t>AM2</w:t>
      </w:r>
      <w:r w:rsidRPr="00E459E5">
        <w:rPr>
          <w:rFonts w:cs="Times New Roman"/>
          <w:szCs w:val="24"/>
        </w:rPr>
        <w:t xml:space="preserve"> TASK 1: </w:t>
      </w:r>
      <w:r w:rsidR="00E459E5" w:rsidRPr="00E459E5">
        <w:rPr>
          <w:rFonts w:cs="Times New Roman"/>
          <w:szCs w:val="24"/>
        </w:rPr>
        <w:t>Data Dashboard and Representation</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96A2196"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10 Data Dashboard and Representation</w:t>
      </w:r>
    </w:p>
    <w:p w14:paraId="304C2C6D" w14:textId="2D6B1468" w:rsidR="0069209D" w:rsidRPr="00AD1D4D" w:rsidRDefault="008B23DA" w:rsidP="00736191">
      <w:pPr>
        <w:ind w:firstLine="0"/>
        <w:jc w:val="center"/>
        <w:rPr>
          <w:rFonts w:cs="Times New Roman"/>
          <w:szCs w:val="24"/>
        </w:rPr>
      </w:pPr>
      <w:r>
        <w:rPr>
          <w:rFonts w:cs="Times New Roman"/>
          <w:szCs w:val="24"/>
        </w:rPr>
        <w:t>January</w:t>
      </w:r>
      <w:r w:rsidR="00D51EA4">
        <w:rPr>
          <w:rFonts w:cs="Times New Roman"/>
          <w:szCs w:val="24"/>
        </w:rPr>
        <w:t xml:space="preserve"> 202</w:t>
      </w:r>
      <w:r>
        <w:rPr>
          <w:rFonts w:cs="Times New Roman"/>
          <w:szCs w:val="24"/>
        </w:rPr>
        <w:t>4</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53F4FEB2" w14:textId="7F108321" w:rsidR="00257AB6"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2840792" w:history="1">
            <w:r w:rsidR="00257AB6" w:rsidRPr="00FA06BC">
              <w:rPr>
                <w:rStyle w:val="Hyperlink"/>
                <w:noProof/>
              </w:rPr>
              <w:t>Part I: Purpose and Function</w:t>
            </w:r>
            <w:r w:rsidR="00257AB6">
              <w:rPr>
                <w:noProof/>
                <w:webHidden/>
              </w:rPr>
              <w:tab/>
            </w:r>
            <w:r w:rsidR="00257AB6">
              <w:rPr>
                <w:noProof/>
                <w:webHidden/>
              </w:rPr>
              <w:fldChar w:fldCharType="begin"/>
            </w:r>
            <w:r w:rsidR="00257AB6">
              <w:rPr>
                <w:noProof/>
                <w:webHidden/>
              </w:rPr>
              <w:instrText xml:space="preserve"> PAGEREF _Toc152840792 \h </w:instrText>
            </w:r>
            <w:r w:rsidR="00257AB6">
              <w:rPr>
                <w:noProof/>
                <w:webHidden/>
              </w:rPr>
            </w:r>
            <w:r w:rsidR="00257AB6">
              <w:rPr>
                <w:noProof/>
                <w:webHidden/>
              </w:rPr>
              <w:fldChar w:fldCharType="separate"/>
            </w:r>
            <w:r w:rsidR="00257AB6">
              <w:rPr>
                <w:noProof/>
                <w:webHidden/>
              </w:rPr>
              <w:t>3</w:t>
            </w:r>
            <w:r w:rsidR="00257AB6">
              <w:rPr>
                <w:noProof/>
                <w:webHidden/>
              </w:rPr>
              <w:fldChar w:fldCharType="end"/>
            </w:r>
          </w:hyperlink>
        </w:p>
        <w:p w14:paraId="78DBC8C1" w14:textId="201AE3DF" w:rsidR="00257AB6" w:rsidRDefault="00000000">
          <w:pPr>
            <w:pStyle w:val="TOC1"/>
            <w:rPr>
              <w:rFonts w:asciiTheme="minorHAnsi" w:eastAsiaTheme="minorEastAsia" w:hAnsiTheme="minorHAnsi" w:cstheme="minorBidi"/>
              <w:noProof/>
              <w:kern w:val="2"/>
              <w:sz w:val="22"/>
              <w14:ligatures w14:val="standardContextual"/>
            </w:rPr>
          </w:pPr>
          <w:hyperlink w:anchor="_Toc152840793" w:history="1">
            <w:r w:rsidR="00257AB6" w:rsidRPr="00FA06BC">
              <w:rPr>
                <w:rStyle w:val="Hyperlink"/>
                <w:noProof/>
              </w:rPr>
              <w:t>Part II: Variables</w:t>
            </w:r>
            <w:r w:rsidR="00257AB6">
              <w:rPr>
                <w:noProof/>
                <w:webHidden/>
              </w:rPr>
              <w:tab/>
            </w:r>
            <w:r w:rsidR="00257AB6">
              <w:rPr>
                <w:noProof/>
                <w:webHidden/>
              </w:rPr>
              <w:fldChar w:fldCharType="begin"/>
            </w:r>
            <w:r w:rsidR="00257AB6">
              <w:rPr>
                <w:noProof/>
                <w:webHidden/>
              </w:rPr>
              <w:instrText xml:space="preserve"> PAGEREF _Toc152840793 \h </w:instrText>
            </w:r>
            <w:r w:rsidR="00257AB6">
              <w:rPr>
                <w:noProof/>
                <w:webHidden/>
              </w:rPr>
            </w:r>
            <w:r w:rsidR="00257AB6">
              <w:rPr>
                <w:noProof/>
                <w:webHidden/>
              </w:rPr>
              <w:fldChar w:fldCharType="separate"/>
            </w:r>
            <w:r w:rsidR="00257AB6">
              <w:rPr>
                <w:noProof/>
                <w:webHidden/>
              </w:rPr>
              <w:t>3</w:t>
            </w:r>
            <w:r w:rsidR="00257AB6">
              <w:rPr>
                <w:noProof/>
                <w:webHidden/>
              </w:rPr>
              <w:fldChar w:fldCharType="end"/>
            </w:r>
          </w:hyperlink>
        </w:p>
        <w:p w14:paraId="22B18901" w14:textId="2C49C546" w:rsidR="00257AB6" w:rsidRDefault="00000000">
          <w:pPr>
            <w:pStyle w:val="TOC1"/>
            <w:rPr>
              <w:rFonts w:asciiTheme="minorHAnsi" w:eastAsiaTheme="minorEastAsia" w:hAnsiTheme="minorHAnsi" w:cstheme="minorBidi"/>
              <w:noProof/>
              <w:kern w:val="2"/>
              <w:sz w:val="22"/>
              <w14:ligatures w14:val="standardContextual"/>
            </w:rPr>
          </w:pPr>
          <w:hyperlink w:anchor="_Toc152840794" w:history="1">
            <w:r w:rsidR="00257AB6" w:rsidRPr="00FA06BC">
              <w:rPr>
                <w:rStyle w:val="Hyperlink"/>
                <w:noProof/>
              </w:rPr>
              <w:t>Part III: Data Representations</w:t>
            </w:r>
            <w:r w:rsidR="00257AB6">
              <w:rPr>
                <w:noProof/>
                <w:webHidden/>
              </w:rPr>
              <w:tab/>
            </w:r>
            <w:r w:rsidR="00257AB6">
              <w:rPr>
                <w:noProof/>
                <w:webHidden/>
              </w:rPr>
              <w:fldChar w:fldCharType="begin"/>
            </w:r>
            <w:r w:rsidR="00257AB6">
              <w:rPr>
                <w:noProof/>
                <w:webHidden/>
              </w:rPr>
              <w:instrText xml:space="preserve"> PAGEREF _Toc152840794 \h </w:instrText>
            </w:r>
            <w:r w:rsidR="00257AB6">
              <w:rPr>
                <w:noProof/>
                <w:webHidden/>
              </w:rPr>
            </w:r>
            <w:r w:rsidR="00257AB6">
              <w:rPr>
                <w:noProof/>
                <w:webHidden/>
              </w:rPr>
              <w:fldChar w:fldCharType="separate"/>
            </w:r>
            <w:r w:rsidR="00257AB6">
              <w:rPr>
                <w:noProof/>
                <w:webHidden/>
              </w:rPr>
              <w:t>3</w:t>
            </w:r>
            <w:r w:rsidR="00257AB6">
              <w:rPr>
                <w:noProof/>
                <w:webHidden/>
              </w:rPr>
              <w:fldChar w:fldCharType="end"/>
            </w:r>
          </w:hyperlink>
        </w:p>
        <w:p w14:paraId="0FE1ACA1" w14:textId="7EFDC840" w:rsidR="00257AB6" w:rsidRDefault="00000000">
          <w:pPr>
            <w:pStyle w:val="TOC1"/>
            <w:rPr>
              <w:rFonts w:asciiTheme="minorHAnsi" w:eastAsiaTheme="minorEastAsia" w:hAnsiTheme="minorHAnsi" w:cstheme="minorBidi"/>
              <w:noProof/>
              <w:kern w:val="2"/>
              <w:sz w:val="22"/>
              <w14:ligatures w14:val="standardContextual"/>
            </w:rPr>
          </w:pPr>
          <w:hyperlink w:anchor="_Toc152840795" w:history="1">
            <w:r w:rsidR="00257AB6" w:rsidRPr="00FA06BC">
              <w:rPr>
                <w:rStyle w:val="Hyperlink"/>
                <w:noProof/>
              </w:rPr>
              <w:t>Part IV: Interactive Controls</w:t>
            </w:r>
            <w:r w:rsidR="00257AB6">
              <w:rPr>
                <w:noProof/>
                <w:webHidden/>
              </w:rPr>
              <w:tab/>
            </w:r>
            <w:r w:rsidR="00257AB6">
              <w:rPr>
                <w:noProof/>
                <w:webHidden/>
              </w:rPr>
              <w:fldChar w:fldCharType="begin"/>
            </w:r>
            <w:r w:rsidR="00257AB6">
              <w:rPr>
                <w:noProof/>
                <w:webHidden/>
              </w:rPr>
              <w:instrText xml:space="preserve"> PAGEREF _Toc152840795 \h </w:instrText>
            </w:r>
            <w:r w:rsidR="00257AB6">
              <w:rPr>
                <w:noProof/>
                <w:webHidden/>
              </w:rPr>
            </w:r>
            <w:r w:rsidR="00257AB6">
              <w:rPr>
                <w:noProof/>
                <w:webHidden/>
              </w:rPr>
              <w:fldChar w:fldCharType="separate"/>
            </w:r>
            <w:r w:rsidR="00257AB6">
              <w:rPr>
                <w:noProof/>
                <w:webHidden/>
              </w:rPr>
              <w:t>4</w:t>
            </w:r>
            <w:r w:rsidR="00257AB6">
              <w:rPr>
                <w:noProof/>
                <w:webHidden/>
              </w:rPr>
              <w:fldChar w:fldCharType="end"/>
            </w:r>
          </w:hyperlink>
        </w:p>
        <w:p w14:paraId="5FA857FB" w14:textId="056762CD" w:rsidR="00257AB6" w:rsidRDefault="00000000">
          <w:pPr>
            <w:pStyle w:val="TOC1"/>
            <w:rPr>
              <w:rFonts w:asciiTheme="minorHAnsi" w:eastAsiaTheme="minorEastAsia" w:hAnsiTheme="minorHAnsi" w:cstheme="minorBidi"/>
              <w:noProof/>
              <w:kern w:val="2"/>
              <w:sz w:val="22"/>
              <w14:ligatures w14:val="standardContextual"/>
            </w:rPr>
          </w:pPr>
          <w:hyperlink w:anchor="_Toc152840796" w:history="1">
            <w:r w:rsidR="00257AB6" w:rsidRPr="00FA06BC">
              <w:rPr>
                <w:rStyle w:val="Hyperlink"/>
                <w:noProof/>
              </w:rPr>
              <w:t>Part V: Accessibility for Individuals with Color-Blindness</w:t>
            </w:r>
            <w:r w:rsidR="00257AB6">
              <w:rPr>
                <w:noProof/>
                <w:webHidden/>
              </w:rPr>
              <w:tab/>
            </w:r>
            <w:r w:rsidR="00257AB6">
              <w:rPr>
                <w:noProof/>
                <w:webHidden/>
              </w:rPr>
              <w:fldChar w:fldCharType="begin"/>
            </w:r>
            <w:r w:rsidR="00257AB6">
              <w:rPr>
                <w:noProof/>
                <w:webHidden/>
              </w:rPr>
              <w:instrText xml:space="preserve"> PAGEREF _Toc152840796 \h </w:instrText>
            </w:r>
            <w:r w:rsidR="00257AB6">
              <w:rPr>
                <w:noProof/>
                <w:webHidden/>
              </w:rPr>
            </w:r>
            <w:r w:rsidR="00257AB6">
              <w:rPr>
                <w:noProof/>
                <w:webHidden/>
              </w:rPr>
              <w:fldChar w:fldCharType="separate"/>
            </w:r>
            <w:r w:rsidR="00257AB6">
              <w:rPr>
                <w:noProof/>
                <w:webHidden/>
              </w:rPr>
              <w:t>4</w:t>
            </w:r>
            <w:r w:rsidR="00257AB6">
              <w:rPr>
                <w:noProof/>
                <w:webHidden/>
              </w:rPr>
              <w:fldChar w:fldCharType="end"/>
            </w:r>
          </w:hyperlink>
        </w:p>
        <w:p w14:paraId="736B4220" w14:textId="58441A90"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52840792"/>
      <w:r>
        <w:t xml:space="preserve">Part </w:t>
      </w:r>
      <w:r w:rsidR="00A00662">
        <w:t>I</w:t>
      </w:r>
      <w:r>
        <w:t>:</w:t>
      </w:r>
      <w:r w:rsidR="00A00662">
        <w:t xml:space="preserve"> </w:t>
      </w:r>
      <w:r w:rsidR="00736191">
        <w:t>Purpose and Function</w:t>
      </w:r>
      <w:bookmarkEnd w:id="0"/>
    </w:p>
    <w:p w14:paraId="5FD31606" w14:textId="5B54B703" w:rsidR="00736191" w:rsidRPr="00736191" w:rsidRDefault="00736191" w:rsidP="00736191">
      <w:r>
        <w:t xml:space="preserve">The purpose of the dashboard is to </w:t>
      </w:r>
      <w:r w:rsidR="00C2545A">
        <w:t>explore the readmission rates for the hospitals and try to uncover the root cause for said readmissions. Our stakeholders include executive leaders the organization such as Senior Vice President of Hospital Operations (SVP), Vice President of Research (VP) as well as a Panel of Regional Vice Presidents (Regional VPs). With a deep dive into the data and root cause, a decision can be made to minimize readmissions and potentially decrease costs and overhead associated with these readmissions.</w:t>
      </w:r>
    </w:p>
    <w:p w14:paraId="68A6F4ED" w14:textId="77777777" w:rsidR="00302475" w:rsidRDefault="00302475" w:rsidP="00C93913">
      <w:pPr>
        <w:shd w:val="clear" w:color="auto" w:fill="FFFFFF"/>
        <w:ind w:firstLine="0"/>
        <w:contextualSpacing w:val="0"/>
      </w:pPr>
    </w:p>
    <w:p w14:paraId="58FDDA8E" w14:textId="5F8AC261" w:rsidR="00302475" w:rsidRDefault="00302475" w:rsidP="00302475">
      <w:pPr>
        <w:pStyle w:val="Heading1"/>
        <w:jc w:val="left"/>
      </w:pPr>
      <w:bookmarkStart w:id="1" w:name="_Toc152840793"/>
      <w:r>
        <w:t xml:space="preserve">Part II: </w:t>
      </w:r>
      <w:r w:rsidR="00F43607">
        <w:t>Variables</w:t>
      </w:r>
      <w:bookmarkEnd w:id="1"/>
    </w:p>
    <w:p w14:paraId="63777582" w14:textId="236293EA" w:rsidR="00553830" w:rsidRDefault="00553830" w:rsidP="00553830">
      <w:r>
        <w:t>The variables used in the data dashboard include the state of the health facility, readmission rate, facility name and admission type. Readmission rates further compared to averages tabulated by CMS</w:t>
      </w:r>
      <w:r w:rsidR="00242D23">
        <w:t xml:space="preserve">’ Hospital Readmissions Reduction Program (HRRP) which includes information for readmission rates for specific conditions such as heart failure, </w:t>
      </w:r>
      <w:r w:rsidR="00C63679">
        <w:t>pneumonia,</w:t>
      </w:r>
      <w:r w:rsidR="00242D23">
        <w:t xml:space="preserve"> and chronic obstructive pulmonary disease (COPD) among others </w:t>
      </w:r>
      <w:sdt>
        <w:sdtPr>
          <w:id w:val="131063302"/>
          <w:citation/>
        </w:sdtPr>
        <w:sdtContent>
          <w:r w:rsidR="00242D23">
            <w:fldChar w:fldCharType="begin"/>
          </w:r>
          <w:r w:rsidR="00242D23">
            <w:instrText xml:space="preserve"> CITATION USC23 \l 1033 </w:instrText>
          </w:r>
          <w:r w:rsidR="00242D23">
            <w:fldChar w:fldCharType="separate"/>
          </w:r>
          <w:r w:rsidR="00257AB6">
            <w:rPr>
              <w:noProof/>
            </w:rPr>
            <w:t>(U.S Centers for Medicare &amp; Medicaid Services, 2023)</w:t>
          </w:r>
          <w:r w:rsidR="00242D23">
            <w:fldChar w:fldCharType="end"/>
          </w:r>
        </w:sdtContent>
      </w:sdt>
      <w:r w:rsidR="00242D23">
        <w:t>.</w:t>
      </w:r>
      <w:r w:rsidR="00ED6D49">
        <w:t xml:space="preserve"> Using this data obtained from CMS and using the medical dataset, the readmission rates can be not only compared from facility to facility but also to national averages and other health </w:t>
      </w:r>
      <w:r w:rsidR="00B312B9">
        <w:t>institutions</w:t>
      </w:r>
      <w:r w:rsidR="00ED6D49">
        <w:t xml:space="preserve"> not within the organization.</w:t>
      </w:r>
    </w:p>
    <w:p w14:paraId="56A1D57F" w14:textId="77777777" w:rsidR="00C63679" w:rsidRPr="00553830" w:rsidRDefault="00C63679" w:rsidP="00553830"/>
    <w:p w14:paraId="18905BC4" w14:textId="582D568B" w:rsidR="00BF517A" w:rsidRDefault="005C2240" w:rsidP="00925EA8">
      <w:pPr>
        <w:pStyle w:val="Heading1"/>
        <w:jc w:val="left"/>
      </w:pPr>
      <w:bookmarkStart w:id="2" w:name="_Toc152840794"/>
      <w:r>
        <w:t xml:space="preserve">Part III: Data </w:t>
      </w:r>
      <w:r w:rsidR="00C63679">
        <w:t>Representations</w:t>
      </w:r>
      <w:bookmarkEnd w:id="2"/>
    </w:p>
    <w:p w14:paraId="5FA6A7B0" w14:textId="3F198285" w:rsidR="009D5B07" w:rsidRPr="009D5B07" w:rsidRDefault="009D5B07" w:rsidP="009D5B07">
      <w:r>
        <w:t xml:space="preserve">Much information can be drawn from the </w:t>
      </w:r>
      <w:r w:rsidR="002E17E7">
        <w:t>dashboard,</w:t>
      </w:r>
      <w:r>
        <w:t xml:space="preserve"> but two important </w:t>
      </w:r>
      <w:r w:rsidR="00574BE6">
        <w:t xml:space="preserve">observations are readmission by admission type and readmission by length of stay. Firstly, readmission by admission type can be used to focus on where the readmissions are happening the most. For </w:t>
      </w:r>
      <w:r w:rsidR="00574BE6">
        <w:lastRenderedPageBreak/>
        <w:t>example, half of all readmissions within the organization come from the emergency department while the other half is mostly equally distributed between elective and observation admission types. This demonstrates that the emergency department should be the first department analyzed for the root cause of high readmission rates. Secondly, the readmission by length of stay is also important in understanding whether there is any correlation between the number of days the patient spent in the hospital and whether they were readmitted.</w:t>
      </w:r>
      <w:r w:rsidR="004D6010">
        <w:t xml:space="preserve"> This information can provide insight into whether the readmission is due to the length of stay of the patient or other health factors particular to that patient.</w:t>
      </w:r>
    </w:p>
    <w:p w14:paraId="2E11F3BF" w14:textId="117A9B96" w:rsidR="000C6DE0" w:rsidRDefault="000C6DE0" w:rsidP="000C6DE0">
      <w:pPr>
        <w:shd w:val="clear" w:color="auto" w:fill="FFFFFF"/>
        <w:ind w:firstLine="0"/>
        <w:contextualSpacing w:val="0"/>
        <w:jc w:val="center"/>
      </w:pPr>
    </w:p>
    <w:p w14:paraId="639F48E6" w14:textId="54DA2397" w:rsidR="002941B0" w:rsidRDefault="00372DBB" w:rsidP="00925EA8">
      <w:pPr>
        <w:pStyle w:val="Heading1"/>
        <w:jc w:val="left"/>
      </w:pPr>
      <w:bookmarkStart w:id="3" w:name="_Toc152840795"/>
      <w:r>
        <w:t xml:space="preserve">Part IV: </w:t>
      </w:r>
      <w:r w:rsidR="002E17E7">
        <w:t>Interactive Controls</w:t>
      </w:r>
      <w:bookmarkEnd w:id="3"/>
    </w:p>
    <w:p w14:paraId="33CBD1C3" w14:textId="1EB6D8A6" w:rsidR="002E17E7" w:rsidRDefault="002E17E7" w:rsidP="002E17E7">
      <w:r>
        <w:t>The dashboard includes three interactive controls in order to zoom into the data. These include facility state, facility name and measure name. Facility state and name can be used to determine where and which location had the highest readmission rates. In this way, actions can be taken to reduce them. Furthermore, measure names can be used to compare CMS’ national averages for the chronic conditions outlined previously.</w:t>
      </w:r>
      <w:r w:rsidR="00B776A8">
        <w:t xml:space="preserve"> They can be used to see how each facility or state compares to publicly available data.</w:t>
      </w:r>
    </w:p>
    <w:p w14:paraId="37539EEE" w14:textId="77777777" w:rsidR="0054782E" w:rsidRPr="002E17E7" w:rsidRDefault="0054782E" w:rsidP="002E17E7"/>
    <w:p w14:paraId="483110B8" w14:textId="5C067FC2" w:rsidR="00FB1511" w:rsidRDefault="004221ED" w:rsidP="00925EA8">
      <w:pPr>
        <w:pStyle w:val="Heading1"/>
        <w:jc w:val="left"/>
      </w:pPr>
      <w:bookmarkStart w:id="4" w:name="_Toc152840796"/>
      <w:r>
        <w:t xml:space="preserve">Part V: </w:t>
      </w:r>
      <w:r w:rsidR="00821A93">
        <w:t>Accessibility for Individuals with Color-Blindness</w:t>
      </w:r>
      <w:bookmarkEnd w:id="4"/>
    </w:p>
    <w:p w14:paraId="00D680FD" w14:textId="46C3FA9D" w:rsidR="00821A93" w:rsidRDefault="00821A93" w:rsidP="00821A93">
      <w:r>
        <w:t xml:space="preserve">In order to be accessible to everyone, including those with ocular deficiencies, the colors used were specifically selected in order to be easily seen by those who are color-blind. The software Colour Simulations was used in order to achieve this. Colour Simulations uses an overlay to display how the colors would be seen for those who </w:t>
      </w:r>
      <w:r w:rsidR="005E0DC9">
        <w:t xml:space="preserve">have these deficiencies including </w:t>
      </w:r>
      <w:r w:rsidR="005E0DC9" w:rsidRPr="005E0DC9">
        <w:t>Protanomalous/Protanope, Deuteranomalous/Deuteranope, Tritanomalous/Tritanope</w:t>
      </w:r>
      <w:r w:rsidR="005E0DC9">
        <w:t xml:space="preserve"> </w:t>
      </w:r>
      <w:sdt>
        <w:sdtPr>
          <w:id w:val="-351332145"/>
          <w:citation/>
        </w:sdtPr>
        <w:sdtContent>
          <w:r w:rsidR="005E0DC9">
            <w:fldChar w:fldCharType="begin"/>
          </w:r>
          <w:r w:rsidR="005E0DC9">
            <w:instrText xml:space="preserve"> CITATION Man21 \l 1033 </w:instrText>
          </w:r>
          <w:r w:rsidR="005E0DC9">
            <w:fldChar w:fldCharType="separate"/>
          </w:r>
          <w:r w:rsidR="00257AB6">
            <w:rPr>
              <w:noProof/>
            </w:rPr>
            <w:t xml:space="preserve">(Mangan, </w:t>
          </w:r>
          <w:r w:rsidR="00257AB6">
            <w:rPr>
              <w:noProof/>
            </w:rPr>
            <w:lastRenderedPageBreak/>
            <w:t>2021)</w:t>
          </w:r>
          <w:r w:rsidR="005E0DC9">
            <w:fldChar w:fldCharType="end"/>
          </w:r>
        </w:sdtContent>
      </w:sdt>
      <w:r w:rsidR="005E0DC9">
        <w:t>.</w:t>
      </w:r>
      <w:r w:rsidR="009720E6">
        <w:t xml:space="preserve"> </w:t>
      </w:r>
      <w:r w:rsidR="00737886">
        <w:t>The colors for the dashboard were then changed and selected in order to be able to distinguish the visualizations clearly using the overlay.</w:t>
      </w:r>
    </w:p>
    <w:p w14:paraId="13C57465" w14:textId="77777777" w:rsidR="00094D09" w:rsidRPr="00821A93" w:rsidRDefault="00094D09" w:rsidP="00821A93"/>
    <w:p w14:paraId="3F4F592F" w14:textId="149F4B9E" w:rsidR="00094D09" w:rsidRDefault="00094D09" w:rsidP="00094D09">
      <w:pPr>
        <w:pStyle w:val="Heading1"/>
        <w:jc w:val="left"/>
      </w:pPr>
      <w:r>
        <w:t xml:space="preserve">Part VI: </w:t>
      </w:r>
      <w:r w:rsidR="00474B12">
        <w:t>Sample Data Representation</w:t>
      </w:r>
    </w:p>
    <w:p w14:paraId="10EC2F4C" w14:textId="6DC9DEB3" w:rsidR="00474B12" w:rsidRDefault="00474B12" w:rsidP="00474B12">
      <w:r>
        <w:t xml:space="preserve">The first data representation that can be made using the dashboard it the relation between readmission across all facilities and length of stay. From the dashboard, we can see that readmission numbers varied as the length of stay was similar in all states. For example, we can see that California had 550 readmissions and </w:t>
      </w:r>
      <w:r w:rsidR="0026341E">
        <w:t>Colorado had 179 with only 35 days for length of stay – this means that even with the same average length of stay, California had considerably more readmissions than Colorado. This pattern is seen across the board, not only with Colorado.</w:t>
      </w:r>
    </w:p>
    <w:p w14:paraId="3F073BE8" w14:textId="65E1729E" w:rsidR="004B0574" w:rsidRPr="00474B12" w:rsidRDefault="004B0574" w:rsidP="00474B12">
      <w:r>
        <w:t xml:space="preserve">A second data representation that we can see is that emergency admission had the most readmissions, about the same as elective admissions and observation admission types combined. </w:t>
      </w:r>
    </w:p>
    <w:p w14:paraId="1D91EC00" w14:textId="77777777" w:rsidR="00474B12" w:rsidRDefault="00474B12" w:rsidP="00474B12"/>
    <w:p w14:paraId="3FC431D4" w14:textId="2BA0A3E8" w:rsidR="00474B12" w:rsidRPr="00474B12" w:rsidRDefault="00806C88" w:rsidP="00806C88">
      <w:pPr>
        <w:pStyle w:val="Heading1"/>
        <w:jc w:val="left"/>
      </w:pPr>
      <w:r>
        <w:t>Part VII: Sample Data Representation</w:t>
      </w:r>
    </w:p>
    <w:p w14:paraId="2CE09129" w14:textId="409B6C15" w:rsidR="0034330E" w:rsidRDefault="0034330E" w:rsidP="0034330E">
      <w:r>
        <w:t>Having an understanding of the audience is paramount to conveying the correct information from your data. In this case, the audience consisted of leaders with varying degrees of expertise within the organization, albeit with minimal technical data analysis background. The dashboard concisely conveys the important information so leaders can take appropriate actions and make decisions that positively impact the organization.</w:t>
      </w:r>
      <w:r w:rsidR="00CE0728">
        <w:t xml:space="preserve"> The Senior Vice President (SVP) of the organization oversees operations across all hospital locations therefore it is critical for them to understand what information the data tells so they can make the important decisions.</w:t>
      </w:r>
      <w:r w:rsidR="008D31C4">
        <w:t xml:space="preserve"> The Vice President of Research (VP) can impact patient care and therefore should also understand the data </w:t>
      </w:r>
      <w:r w:rsidR="008D31C4">
        <w:lastRenderedPageBreak/>
        <w:t>correctly. Lastly, the Panel of Regional Vice Presidents (Regional VPs) can implement policies across the or</w:t>
      </w:r>
      <w:r w:rsidR="00685CC9">
        <w:t>ganization.</w:t>
      </w:r>
    </w:p>
    <w:p w14:paraId="182F3315" w14:textId="77777777" w:rsidR="00780F25" w:rsidRDefault="00780F25" w:rsidP="0034330E"/>
    <w:p w14:paraId="45BCB65F" w14:textId="73AD467B" w:rsidR="00780F25" w:rsidRDefault="00780F25" w:rsidP="00780F25">
      <w:pPr>
        <w:pStyle w:val="Heading1"/>
        <w:jc w:val="left"/>
      </w:pPr>
      <w:r>
        <w:t>Part VIII: Sample Data Representation</w:t>
      </w:r>
    </w:p>
    <w:p w14:paraId="2D17D979" w14:textId="54325BC4" w:rsidR="00780F25" w:rsidRPr="00780F25" w:rsidRDefault="00780F25" w:rsidP="00780F25">
      <w:r>
        <w:t xml:space="preserve">The design of the dashboard was designed for universal access by all audiences. Firstly, the dashboard is easy to understand and analyze – information is geographically plotted and tabulated in an easy-to-read fashion. Moreover, as previously stated,  </w:t>
      </w:r>
      <w:r w:rsidR="008E1739">
        <w:t>persons with visual impairments were taken into consideration by the careful selection of colors that can be seen used in the map and in the bar graph.</w:t>
      </w:r>
    </w:p>
    <w:p w14:paraId="2D451163" w14:textId="77777777" w:rsidR="00780F25" w:rsidRPr="0034330E" w:rsidRDefault="00780F25" w:rsidP="0034330E"/>
    <w:p w14:paraId="0733CDB6" w14:textId="77777777" w:rsidR="00094D09" w:rsidRPr="00094D09" w:rsidRDefault="00094D09" w:rsidP="00094D09"/>
    <w:p w14:paraId="6DC85C04" w14:textId="77777777" w:rsidR="00925EA8" w:rsidRDefault="00925EA8" w:rsidP="00925EA8"/>
    <w:p w14:paraId="355697CC" w14:textId="77777777" w:rsidR="00925EA8" w:rsidRDefault="00925EA8" w:rsidP="00925EA8"/>
    <w:p w14:paraId="62569533" w14:textId="77777777" w:rsidR="00925EA8" w:rsidRDefault="00925EA8" w:rsidP="00925EA8"/>
    <w:p w14:paraId="4B2834B5" w14:textId="77777777" w:rsidR="00925EA8" w:rsidRDefault="00925EA8" w:rsidP="00925EA8"/>
    <w:p w14:paraId="62635B1B" w14:textId="77777777" w:rsidR="00925EA8" w:rsidRDefault="00925EA8" w:rsidP="00925EA8"/>
    <w:p w14:paraId="76D93807" w14:textId="77777777" w:rsidR="00925EA8" w:rsidRPr="00925EA8" w:rsidRDefault="00925EA8" w:rsidP="00925EA8"/>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792A2505" w14:textId="77777777" w:rsidR="00257AB6" w:rsidRDefault="00A00662" w:rsidP="00257AB6">
          <w:pPr>
            <w:pStyle w:val="Bibliography"/>
            <w:ind w:left="720" w:hanging="720"/>
            <w:rPr>
              <w:noProof/>
              <w:szCs w:val="24"/>
            </w:rPr>
          </w:pPr>
          <w:r>
            <w:fldChar w:fldCharType="begin"/>
          </w:r>
          <w:r>
            <w:instrText xml:space="preserve"> BIBLIOGRAPHY </w:instrText>
          </w:r>
          <w:r>
            <w:fldChar w:fldCharType="separate"/>
          </w:r>
          <w:r w:rsidR="00257AB6">
            <w:rPr>
              <w:noProof/>
            </w:rPr>
            <w:t xml:space="preserve">Mangan, T. (2021, May 27). </w:t>
          </w:r>
          <w:r w:rsidR="00257AB6">
            <w:rPr>
              <w:i/>
              <w:iCs/>
              <w:noProof/>
            </w:rPr>
            <w:t>All About Vision</w:t>
          </w:r>
          <w:r w:rsidR="00257AB6">
            <w:rPr>
              <w:noProof/>
            </w:rPr>
            <w:t>. Retrieved from Red-green color blindness: https://www.allaboutvision.com/conditions/color-blindness/red-green-color-blindness/</w:t>
          </w:r>
        </w:p>
        <w:p w14:paraId="60DB228E" w14:textId="77777777" w:rsidR="00257AB6" w:rsidRDefault="00257AB6" w:rsidP="00257AB6">
          <w:pPr>
            <w:pStyle w:val="Bibliography"/>
            <w:ind w:left="720" w:hanging="720"/>
            <w:rPr>
              <w:noProof/>
            </w:rPr>
          </w:pPr>
          <w:r>
            <w:rPr>
              <w:noProof/>
            </w:rPr>
            <w:t xml:space="preserve">U.S Centers for Medicare &amp; Medicaid Services. (2023, September 06). </w:t>
          </w:r>
          <w:r>
            <w:rPr>
              <w:i/>
              <w:iCs/>
              <w:noProof/>
            </w:rPr>
            <w:t>Hospital Readmissions Reduction Program (HRRP)</w:t>
          </w:r>
          <w:r>
            <w:rPr>
              <w:noProof/>
            </w:rPr>
            <w:t xml:space="preserve">. Retrieved November 2023, from Hospital Readmissions </w:t>
          </w:r>
          <w:r>
            <w:rPr>
              <w:noProof/>
            </w:rPr>
            <w:lastRenderedPageBreak/>
            <w:t>Reduction Program (HRRP): https://www.cms.gov/medicare/payment/prospective-payment-systems/acute-inpatient-pps/hospital-readmissions-reduction-program-hrrp</w:t>
          </w:r>
        </w:p>
        <w:p w14:paraId="505D7488" w14:textId="00F993A5" w:rsidR="00A00662" w:rsidRDefault="00A00662" w:rsidP="00257AB6">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7AA40" w14:textId="77777777" w:rsidR="008767DE" w:rsidRDefault="008767DE" w:rsidP="00CB541C">
      <w:r>
        <w:separator/>
      </w:r>
    </w:p>
    <w:p w14:paraId="116B4081" w14:textId="77777777" w:rsidR="008767DE" w:rsidRDefault="008767DE" w:rsidP="00CB541C"/>
  </w:endnote>
  <w:endnote w:type="continuationSeparator" w:id="0">
    <w:p w14:paraId="54226F1A" w14:textId="77777777" w:rsidR="008767DE" w:rsidRDefault="008767DE" w:rsidP="00CB541C">
      <w:r>
        <w:continuationSeparator/>
      </w:r>
    </w:p>
    <w:p w14:paraId="480D1B20" w14:textId="77777777" w:rsidR="008767DE" w:rsidRDefault="008767DE"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4A5A9" w14:textId="77777777" w:rsidR="008767DE" w:rsidRDefault="008767DE" w:rsidP="00CB541C">
      <w:r>
        <w:separator/>
      </w:r>
    </w:p>
    <w:p w14:paraId="60343E00" w14:textId="77777777" w:rsidR="008767DE" w:rsidRDefault="008767DE" w:rsidP="00CB541C"/>
  </w:footnote>
  <w:footnote w:type="continuationSeparator" w:id="0">
    <w:p w14:paraId="3878D77F" w14:textId="77777777" w:rsidR="008767DE" w:rsidRDefault="008767DE" w:rsidP="00CB541C">
      <w:r>
        <w:continuationSeparator/>
      </w:r>
    </w:p>
    <w:p w14:paraId="0EEFF2A4" w14:textId="77777777" w:rsidR="008767DE" w:rsidRDefault="008767DE"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94D09"/>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42D23"/>
    <w:rsid w:val="00251BB5"/>
    <w:rsid w:val="00251D9A"/>
    <w:rsid w:val="00252026"/>
    <w:rsid w:val="00257AB6"/>
    <w:rsid w:val="00261446"/>
    <w:rsid w:val="0026341E"/>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17E7"/>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330E"/>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4B12"/>
    <w:rsid w:val="004762FA"/>
    <w:rsid w:val="0047700E"/>
    <w:rsid w:val="0048068C"/>
    <w:rsid w:val="00480814"/>
    <w:rsid w:val="00490BD7"/>
    <w:rsid w:val="00495642"/>
    <w:rsid w:val="004A3D17"/>
    <w:rsid w:val="004A5010"/>
    <w:rsid w:val="004B0574"/>
    <w:rsid w:val="004B1235"/>
    <w:rsid w:val="004B148D"/>
    <w:rsid w:val="004B1DF7"/>
    <w:rsid w:val="004B1FB5"/>
    <w:rsid w:val="004B64E0"/>
    <w:rsid w:val="004B65ED"/>
    <w:rsid w:val="004C69E6"/>
    <w:rsid w:val="004C7924"/>
    <w:rsid w:val="004D2465"/>
    <w:rsid w:val="004D6010"/>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85CC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06C88"/>
    <w:rsid w:val="00815044"/>
    <w:rsid w:val="0082071C"/>
    <w:rsid w:val="00821A93"/>
    <w:rsid w:val="0082384C"/>
    <w:rsid w:val="0083328A"/>
    <w:rsid w:val="00834C1D"/>
    <w:rsid w:val="00836FCF"/>
    <w:rsid w:val="00851E3C"/>
    <w:rsid w:val="008520F2"/>
    <w:rsid w:val="00856DD8"/>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7E3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4FED"/>
    <w:rsid w:val="00967FCA"/>
    <w:rsid w:val="00972004"/>
    <w:rsid w:val="009720E6"/>
    <w:rsid w:val="009736F3"/>
    <w:rsid w:val="00977E91"/>
    <w:rsid w:val="00981888"/>
    <w:rsid w:val="0098400C"/>
    <w:rsid w:val="009938DE"/>
    <w:rsid w:val="009A668C"/>
    <w:rsid w:val="009B2CA9"/>
    <w:rsid w:val="009B4245"/>
    <w:rsid w:val="009B6FE6"/>
    <w:rsid w:val="009C751D"/>
    <w:rsid w:val="009D2D0E"/>
    <w:rsid w:val="009D4252"/>
    <w:rsid w:val="009D59BF"/>
    <w:rsid w:val="009D5B07"/>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66F8"/>
    <w:rsid w:val="00B312B9"/>
    <w:rsid w:val="00B349F0"/>
    <w:rsid w:val="00B4128B"/>
    <w:rsid w:val="00B4128C"/>
    <w:rsid w:val="00B460B8"/>
    <w:rsid w:val="00B46FBB"/>
    <w:rsid w:val="00B50252"/>
    <w:rsid w:val="00B539F3"/>
    <w:rsid w:val="00B5719D"/>
    <w:rsid w:val="00B57D06"/>
    <w:rsid w:val="00B62197"/>
    <w:rsid w:val="00B67965"/>
    <w:rsid w:val="00B73752"/>
    <w:rsid w:val="00B776A8"/>
    <w:rsid w:val="00B85DB9"/>
    <w:rsid w:val="00B86D8D"/>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E51DB"/>
    <w:rsid w:val="00BF41B1"/>
    <w:rsid w:val="00BF504E"/>
    <w:rsid w:val="00BF517A"/>
    <w:rsid w:val="00BF5EF6"/>
    <w:rsid w:val="00C11CBD"/>
    <w:rsid w:val="00C13458"/>
    <w:rsid w:val="00C166A4"/>
    <w:rsid w:val="00C2525D"/>
    <w:rsid w:val="00C2545A"/>
    <w:rsid w:val="00C364D9"/>
    <w:rsid w:val="00C6367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2532"/>
    <w:rsid w:val="00E55C0E"/>
    <w:rsid w:val="00E56639"/>
    <w:rsid w:val="00E65033"/>
    <w:rsid w:val="00E74339"/>
    <w:rsid w:val="00E77C00"/>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215F"/>
    <w:rsid w:val="00F0256E"/>
    <w:rsid w:val="00F10A0E"/>
    <w:rsid w:val="00F14C57"/>
    <w:rsid w:val="00F22EC5"/>
    <w:rsid w:val="00F23435"/>
    <w:rsid w:val="00F246E2"/>
    <w:rsid w:val="00F3113B"/>
    <w:rsid w:val="00F33816"/>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USC23</b:Tag>
    <b:SourceType>InternetSite</b:SourceType>
    <b:Guid>{12DFC64A-3691-4058-9720-1491CF1CDA9F}</b:Guid>
    <b:Author>
      <b:Author>
        <b:Corporate>U.S Centers for Medicare &amp; Medicaid Services</b:Corporate>
      </b:Author>
    </b:Author>
    <b:Title>Hospital Readmissions Reduction Program (HRRP)</b:Title>
    <b:Year>2023</b:Year>
    <b:YearAccessed>2023</b:YearAccessed>
    <b:MonthAccessed>November</b:MonthAccessed>
    <b:URL>https://www.cms.gov/medicare/payment/prospective-payment-systems/acute-inpatient-pps/hospital-readmissions-reduction-program-hrrp</b:URL>
    <b:InternetSiteTitle>Hospital Readmissions Reduction Program (HRRP)</b:InternetSiteTitle>
    <b:Month>September</b:Month>
    <b:Day>06</b:Day>
    <b:RefOrder>1</b:RefOrder>
  </b:Source>
  <b:Source>
    <b:Tag>Man21</b:Tag>
    <b:SourceType>InternetSite</b:SourceType>
    <b:Guid>{5B51884B-AA33-43F7-8852-7750229CAD7A}</b:Guid>
    <b:Title>All About Vision</b:Title>
    <b:InternetSiteTitle>Red-green color blindness</b:InternetSiteTitle>
    <b:Year>2021</b:Year>
    <b:Month>May</b:Month>
    <b:Day>27</b:Day>
    <b:URL>https://www.allaboutvision.com/conditions/color-blindness/red-green-color-blindness/</b:URL>
    <b:Author>
      <b:Author>
        <b:NameList>
          <b:Person>
            <b:Last>Mangan</b:Last>
            <b:First>Tom</b:First>
          </b:Person>
        </b:NameList>
      </b:Author>
    </b:Author>
    <b:RefOrder>2</b:RefOrder>
  </b:Source>
</b:Sources>
</file>

<file path=customXml/itemProps1.xml><?xml version="1.0" encoding="utf-8"?>
<ds:datastoreItem xmlns:ds="http://schemas.openxmlformats.org/officeDocument/2006/customXml" ds:itemID="{9A861FEB-9FF4-4BE5-A09A-02DE72E1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2024-01-06T13:52:00Z</dcterms:modified>
</cp:coreProperties>
</file>