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00253" w:rsidR="00E00253" w:rsidP="00E00253" w:rsidRDefault="00E00253" w14:paraId="1CD767C1" w14:textId="77777777">
      <w:pPr>
        <w:rPr>
          <w:b/>
          <w:bCs/>
        </w:rPr>
      </w:pPr>
      <w:r w:rsidRPr="00E00253">
        <w:rPr>
          <w:b/>
          <w:bCs/>
        </w:rPr>
        <w:t>Genotip Temelli Beslenme: Yeni Bir Perspektif</w:t>
      </w:r>
    </w:p>
    <w:p w:rsidRPr="00E00253" w:rsidR="00E00253" w:rsidP="00E00253" w:rsidRDefault="00E00253" w14:paraId="0EB408DE" w14:textId="77777777">
      <w:r w:rsidRPr="00E00253">
        <w:t>Beslenme alanında en sık karşılaşılan durumlardan biri, aynı yaklaşımın farklı bireylerde tamamen farklı sonuçlar yaratmasıdır. Bunun temelinde, bireyler arasındaki genetik farklılıklar yer alır. İnsan genomunun çok küçük bir kısmındaki varyasyonlar bile; besinlere verilen metabolik yanıtları, kilo kontrolünü ve hastalıklara yatkınlığı önemli ölçüde etkileyebilir. Bu nedenle beslenme artık yalnızca genel geçer önerilerle değil, bireysel biyolojik farklılıklar dikkate alınarak ele alınmalıdır.</w:t>
      </w:r>
    </w:p>
    <w:p w:rsidRPr="00E00253" w:rsidR="00E00253" w:rsidP="00E00253" w:rsidRDefault="00E00253" w14:paraId="2BC4F781" w14:textId="77777777">
      <w:r w:rsidRPr="00E00253">
        <w:t>Genetik yapı, bireyin sahip olduğu potansiyelleri ve riskleri belirli bir çerçevede sunar; ancak bu çerçevenin nasıl şekilleneceği büyük ölçüde yaşam tarzı ve çevresel faktörlerle ilişkilidir. Beslenme alışkanlıkları, fiziksel aktivite ve çevresel etkileşimler; genetik yatkınlıkların nasıl ortaya çıkacağını belirleyen temel unsurlar arasında yer alır. Bu yaklaşım, sağlık ve hastalık süreçlerine daha dinamik ve yönetilebilir bir perspektiften bakmayı mümkün kılar.</w:t>
      </w:r>
    </w:p>
    <w:p w:rsidRPr="00E00253" w:rsidR="00E00253" w:rsidP="00E00253" w:rsidRDefault="00E00253" w14:paraId="3E57D4F3" w14:textId="77777777">
      <w:pPr>
        <w:rPr>
          <w:b/>
          <w:bCs/>
        </w:rPr>
      </w:pPr>
      <w:r w:rsidRPr="00E00253">
        <w:rPr>
          <w:b/>
          <w:bCs/>
        </w:rPr>
        <w:t>Aynı Besin, Farklı Etkiler</w:t>
      </w:r>
    </w:p>
    <w:p w:rsidRPr="00E00253" w:rsidR="00E00253" w:rsidP="00E00253" w:rsidRDefault="00E00253" w14:paraId="4A9133E3" w14:textId="77777777">
      <w:r w:rsidRPr="00E00253">
        <w:t>Geleneksel beslenme modelleri çoğunlukla ortalama ihtiyaçlara göre şekillendirilmiştir. Ancak pratikte, aynı beslenme planına farklı bireylerin farklı yanıtlar verdiği sıkça gözlemlenir. Bunun nedeni, genetik varyasyonların besin metabolizmasını ve fizyolojik yanıtları doğrudan etkilemesidir.</w:t>
      </w:r>
    </w:p>
    <w:p w:rsidRPr="00E00253" w:rsidR="00E00253" w:rsidP="00E00253" w:rsidRDefault="00E00253" w14:paraId="3F805B7D" w14:textId="77777777">
      <w:r w:rsidRPr="00E00253">
        <w:t>Bazı bireyler belirli bir beslenme müdahalesine yüksek düzeyde yanıt verirken, bazıları sınırlı ya da beklenmeyen tepkiler gösterebilir. Bu durum; kolesterol, kan şekeri, kilo kontrolü gibi birçok parametrede kendini gösterir. Dolayısıyla beslenme yaklaşımlarının etkinliği, bireyin genetik altyapısı ile doğrudan ilişkilidir.</w:t>
      </w:r>
    </w:p>
    <w:p w:rsidRPr="00E00253" w:rsidR="00E00253" w:rsidP="00E00253" w:rsidRDefault="00E00253" w14:paraId="3A42A3F3" w14:textId="77777777">
      <w:pPr>
        <w:rPr>
          <w:b/>
          <w:bCs/>
        </w:rPr>
      </w:pPr>
      <w:r w:rsidRPr="00E00253">
        <w:rPr>
          <w:b/>
          <w:bCs/>
        </w:rPr>
        <w:t>Kişiselleştirilmiş Beslenmenin Yükselişi</w:t>
      </w:r>
    </w:p>
    <w:p w:rsidRPr="00E00253" w:rsidR="00E00253" w:rsidP="00E00253" w:rsidRDefault="00E00253" w14:paraId="29987D71" w14:textId="77777777">
      <w:r w:rsidRPr="00E00253">
        <w:t>Günümüzde beslenme bilimi, standart yaklaşımlardan uzaklaşarak birey odaklı modellere yönelmektedir. Bu yeni yaklaşımda, bireyin genetik verileri; potansiyel risklerin öngörülmesi ve daha etkili beslenme stratejilerinin oluşturulması için önemli bir araç olarak kullanılır.</w:t>
      </w:r>
    </w:p>
    <w:p w:rsidRPr="00E00253" w:rsidR="00E00253" w:rsidP="00E00253" w:rsidRDefault="00E00253" w14:paraId="5A111B8F" w14:textId="77777777">
      <w:proofErr w:type="spellStart"/>
      <w:r w:rsidRPr="00E00253">
        <w:t>Nutrigenetik</w:t>
      </w:r>
      <w:proofErr w:type="spellEnd"/>
      <w:r w:rsidRPr="00E00253">
        <w:t xml:space="preserve"> analizler, bireyin besinlere verdiği yanıtları anlamaya yardımcı olarak daha hedefli ve sürdürülebilir çözümler geliştirilmesini sağlar. Böylece beslenme, yalnızca kısa vadeli hedeflere yönelik bir araç olmaktan çıkar; uzun vadeli sağlık yönetiminin temel bileşenlerinden biri haline gelir.</w:t>
      </w:r>
    </w:p>
    <w:p w:rsidR="00517280" w:rsidRDefault="00517280" w14:paraId="7B2F557B" w14:textId="77777777"/>
    <w:sectPr w:rsidR="00517280">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E8819" w14:textId="77777777" w:rsidR="00331105" w:rsidRDefault="00331105" w:rsidP="00331105">
      <w:pPr>
        <w:spacing w:after="0" w:line="240" w:lineRule="auto"/>
      </w:pPr>
      <w:r>
        <w:separator/>
      </w:r>
    </w:p>
  </w:endnote>
  <w:endnote w:type="continuationSeparator" w:id="0">
    <w:p w14:paraId="674049E8" w14:textId="77777777" w:rsidR="00331105" w:rsidRDefault="00331105" w:rsidP="00331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4496C" w:rsidR="0014496C" w:rsidP="0014496C" w:rsidRDefault="0014496C" w14:paraId="67450395" w14:textId="0395B645">
    <w:pPr>
      <w:jc w:val="center"/>
    </w:pPr>
    <w:r>
      <w:rPr>
        <w:b w:val="false"/>
        <w:i w:val="false"/>
        <w:u w:val="none"/>
        <w:rFonts w:ascii="Arial"/>
      </w:rPr>
    </w:r>
    <w:r w:rsidRPr="0014496C">
      <w:rPr>
        <w:jc w:val="right"/>
        <w:color w:val="#3366FF"/>
        <w:sz w:val="18"/>
        <w:t>TRT | Dahili | Kişisel Veri İçermez</w:t>
        <w:spacing w:after="0"/>
        <w:b w:val="false"/>
        <w:i w:val="false"/>
        <w:u w:val="none"/>
        <w:rFonts w:ascii="Arial"/>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31B5F" w14:textId="77777777" w:rsidR="00331105" w:rsidRDefault="00331105" w:rsidP="00331105">
      <w:pPr>
        <w:spacing w:after="0" w:line="240" w:lineRule="auto"/>
      </w:pPr>
      <w:r>
        <w:separator/>
      </w:r>
    </w:p>
  </w:footnote>
  <w:footnote w:type="continuationSeparator" w:id="0">
    <w:p w14:paraId="0BEE4801" w14:textId="77777777" w:rsidR="00331105" w:rsidRDefault="00331105" w:rsidP="00331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105" w:rsidRDefault="00331105" w14:paraId="0B780AB4" w14:textId="7777777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105" w:rsidRDefault="00331105" w14:paraId="747EF846" w14:textId="7777777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105" w:rsidRDefault="00331105" w14:paraId="3AF5DAB3" w14:textId="77777777">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44E"/>
    <w:rsid w:val="002B4741"/>
    <w:rsid w:val="00331105"/>
    <w:rsid w:val="00517280"/>
    <w:rsid w:val="007C420D"/>
    <w:rsid w:val="00881CBF"/>
    <w:rsid w:val="008B3D4D"/>
    <w:rsid w:val="00D62983"/>
    <w:rsid w:val="00E00253"/>
    <w:rsid w:val="00E55064"/>
    <w:rsid w:val="00EB6F7A"/>
    <w:rsid w:val="00EE344E"/>
    <w:rsid w:val="00F9388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810B6-B969-4EC1-9930-E31E710D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E3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E3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E344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E344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E344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E344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E344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E344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E344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E344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E344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E344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E344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E344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E344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E344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E344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E344E"/>
    <w:rPr>
      <w:rFonts w:eastAsiaTheme="majorEastAsia" w:cstheme="majorBidi"/>
      <w:color w:val="272727" w:themeColor="text1" w:themeTint="D8"/>
    </w:rPr>
  </w:style>
  <w:style w:type="paragraph" w:styleId="KonuBal">
    <w:name w:val="Title"/>
    <w:basedOn w:val="Normal"/>
    <w:next w:val="Normal"/>
    <w:link w:val="KonuBalChar"/>
    <w:uiPriority w:val="10"/>
    <w:qFormat/>
    <w:rsid w:val="00EE3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E344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E344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E344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E344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E344E"/>
    <w:rPr>
      <w:i/>
      <w:iCs/>
      <w:color w:val="404040" w:themeColor="text1" w:themeTint="BF"/>
    </w:rPr>
  </w:style>
  <w:style w:type="paragraph" w:styleId="ListeParagraf">
    <w:name w:val="List Paragraph"/>
    <w:basedOn w:val="Normal"/>
    <w:uiPriority w:val="34"/>
    <w:qFormat/>
    <w:rsid w:val="00EE344E"/>
    <w:pPr>
      <w:ind w:left="720"/>
      <w:contextualSpacing/>
    </w:pPr>
  </w:style>
  <w:style w:type="character" w:styleId="GlVurgulama">
    <w:name w:val="Intense Emphasis"/>
    <w:basedOn w:val="VarsaylanParagrafYazTipi"/>
    <w:uiPriority w:val="21"/>
    <w:qFormat/>
    <w:rsid w:val="00EE344E"/>
    <w:rPr>
      <w:i/>
      <w:iCs/>
      <w:color w:val="2F5496" w:themeColor="accent1" w:themeShade="BF"/>
    </w:rPr>
  </w:style>
  <w:style w:type="paragraph" w:styleId="GlAlnt">
    <w:name w:val="Intense Quote"/>
    <w:basedOn w:val="Normal"/>
    <w:next w:val="Normal"/>
    <w:link w:val="GlAlntChar"/>
    <w:uiPriority w:val="30"/>
    <w:qFormat/>
    <w:rsid w:val="00EE3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E344E"/>
    <w:rPr>
      <w:i/>
      <w:iCs/>
      <w:color w:val="2F5496" w:themeColor="accent1" w:themeShade="BF"/>
    </w:rPr>
  </w:style>
  <w:style w:type="character" w:styleId="GlBavuru">
    <w:name w:val="Intense Reference"/>
    <w:basedOn w:val="VarsaylanParagrafYazTipi"/>
    <w:uiPriority w:val="32"/>
    <w:qFormat/>
    <w:rsid w:val="00EE344E"/>
    <w:rPr>
      <w:b/>
      <w:bCs/>
      <w:smallCaps/>
      <w:color w:val="2F5496" w:themeColor="accent1" w:themeShade="BF"/>
      <w:spacing w:val="5"/>
    </w:rPr>
  </w:style>
  <w:style w:type="paragraph" w:styleId="stBilgi">
    <w:name w:val="header"/>
    <w:basedOn w:val="Normal"/>
    <w:link w:val="stBilgiChar"/>
    <w:uiPriority w:val="99"/>
    <w:unhideWhenUsed/>
    <w:rsid w:val="0033110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31105"/>
  </w:style>
  <w:style w:type="paragraph" w:styleId="AltBilgi">
    <w:name w:val="footer"/>
    <w:basedOn w:val="Normal"/>
    <w:link w:val="AltBilgiChar"/>
    <w:uiPriority w:val="99"/>
    <w:unhideWhenUsed/>
    <w:rsid w:val="0033110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31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Çağatay KONURALP</cp:lastModifiedBy>
  <cp:revision>5</cp:revision>
  <dcterms:created xsi:type="dcterms:W3CDTF">2026-04-09T17:48:00Z</dcterms:created>
  <dcterms:modified xsi:type="dcterms:W3CDTF">2026-04-11T21:01:00Z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GrammarlyDocumentId">
    <vt:lpwstr>5d768b19-427a-43ed-a004-e3bf423fa3f7</vt:lpwstr>
  </op:property>
  <op:property fmtid="{D5CDD505-2E9C-101B-9397-08002B2CF9AE}" pid="3" name="VeriketClassification">
    <vt:lpwstr>A5BC3CFD-4D51-461E-B5F0-D84C6FA67A36</vt:lpwstr>
  </op:property>
  <op:property fmtid="{D5CDD505-2E9C-101B-9397-08002B2CF9AE}" pid="4" name="DetectedPolicyPropertyName">
    <vt:lpwstr/>
  </op:property>
  <op:property fmtid="{D5CDD505-2E9C-101B-9397-08002B2CF9AE}" pid="5" name="DetectedKeywordsPropertyName">
    <vt:lpwstr/>
  </op:property>
  <op:property fmtid="{D5CDD505-2E9C-101B-9397-08002B2CF9AE}" pid="6" name="SensitivityPropertyName">
    <vt:lpwstr>243c9ec4-088d-4c07-a949-c77a6a3a8de2</vt:lpwstr>
  </op:property>
  <op:property fmtid="{D5CDD505-2E9C-101B-9397-08002B2CF9AE}" pid="7" name="SensitivityPersonalDatasPropertyName">
    <vt:lpwstr/>
  </op:property>
  <op:property fmtid="{D5CDD505-2E9C-101B-9397-08002B2CF9AE}" pid="8" name="SensitivityApprovedContentPropertyName">
    <vt:lpwstr/>
  </op:property>
  <op:property fmtid="{D5CDD505-2E9C-101B-9397-08002B2CF9AE}" pid="9" name="SensitivityCanExportContentPropertyName">
    <vt:lpwstr/>
  </op:property>
  <op:property fmtid="{D5CDD505-2E9C-101B-9397-08002B2CF9AE}" pid="10" name="SensitivityDataRetentionPeriodPropertyName">
    <vt:lpwstr/>
  </op:property>
  <op:property fmtid="{D5CDD505-2E9C-101B-9397-08002B2CF9AE}" pid="11" name="Word_AddedWatermark_PropertyName">
    <vt:lpwstr/>
  </op:property>
  <op:property fmtid="{D5CDD505-2E9C-101B-9397-08002B2CF9AE}" pid="12" name="Word_AddedHeader_PropertyName">
    <vt:lpwstr/>
  </op:property>
  <op:property fmtid="{D5CDD505-2E9C-101B-9397-08002B2CF9AE}" pid="13" name="Word_AddedFooter_PropertyName">
    <vt:lpwstr>true</vt:lpwstr>
  </op:property>
</op:Properties>
</file>