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944" w:rsidRPr="003D2944" w:rsidRDefault="003D2944" w:rsidP="003D2944">
      <w:pPr>
        <w:shd w:val="clear" w:color="auto" w:fill="FFFFFF"/>
        <w:spacing w:before="120" w:after="240" w:line="240" w:lineRule="auto"/>
        <w:rPr>
          <w:rFonts w:asciiTheme="minorBidi" w:eastAsia="Times New Roman" w:hAnsiTheme="minorBidi"/>
          <w:color w:val="202122"/>
          <w:sz w:val="24"/>
          <w:szCs w:val="24"/>
          <w:lang w:eastAsia="fr-FR"/>
        </w:rPr>
      </w:pPr>
      <w:r w:rsidRPr="003D2944">
        <w:rPr>
          <w:rFonts w:asciiTheme="minorBidi" w:eastAsia="Times New Roman" w:hAnsiTheme="minorBidi"/>
          <w:b/>
          <w:bCs/>
          <w:color w:val="202122"/>
          <w:sz w:val="24"/>
          <w:szCs w:val="24"/>
          <w:lang w:eastAsia="fr-FR"/>
        </w:rPr>
        <w:t xml:space="preserve">Mazagan Beach &amp; Golf </w:t>
      </w:r>
      <w:proofErr w:type="spellStart"/>
      <w:r w:rsidRPr="003D2944">
        <w:rPr>
          <w:rFonts w:asciiTheme="minorBidi" w:eastAsia="Times New Roman" w:hAnsiTheme="minorBidi"/>
          <w:b/>
          <w:bCs/>
          <w:color w:val="202122"/>
          <w:sz w:val="24"/>
          <w:szCs w:val="24"/>
          <w:lang w:eastAsia="fr-FR"/>
        </w:rPr>
        <w:t>Resort</w:t>
      </w:r>
      <w:proofErr w:type="spellEnd"/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> est un site touristique </w:t>
      </w:r>
      <w:hyperlink r:id="rId5" w:tooltip="Maroc" w:history="1">
        <w:r w:rsidRPr="003D2944">
          <w:rPr>
            <w:rFonts w:asciiTheme="minorBidi" w:eastAsia="Times New Roman" w:hAnsiTheme="minorBidi"/>
            <w:color w:val="202122"/>
            <w:sz w:val="24"/>
            <w:szCs w:val="24"/>
            <w:lang w:eastAsia="fr-FR"/>
          </w:rPr>
          <w:t>marocain</w:t>
        </w:r>
      </w:hyperlink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> de luxe, sur la côte </w:t>
      </w:r>
      <w:hyperlink r:id="rId6" w:tooltip="Atlantique" w:history="1">
        <w:r w:rsidRPr="003D2944">
          <w:rPr>
            <w:rFonts w:asciiTheme="minorBidi" w:eastAsia="Times New Roman" w:hAnsiTheme="minorBidi"/>
            <w:color w:val="202122"/>
            <w:sz w:val="24"/>
            <w:szCs w:val="24"/>
            <w:lang w:eastAsia="fr-FR"/>
          </w:rPr>
          <w:t>Atlantique</w:t>
        </w:r>
      </w:hyperlink>
      <w:r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>.</w:t>
      </w:r>
    </w:p>
    <w:p w:rsidR="003D2944" w:rsidRPr="003D2944" w:rsidRDefault="003D2944" w:rsidP="003D2944">
      <w:pPr>
        <w:shd w:val="clear" w:color="auto" w:fill="FFFFFF"/>
        <w:spacing w:before="120" w:after="240" w:line="240" w:lineRule="auto"/>
        <w:rPr>
          <w:rFonts w:asciiTheme="minorBidi" w:eastAsia="Times New Roman" w:hAnsiTheme="minorBidi"/>
          <w:color w:val="202122"/>
          <w:sz w:val="24"/>
          <w:szCs w:val="24"/>
          <w:lang w:eastAsia="fr-FR"/>
        </w:rPr>
      </w:pPr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>Il est aménagé par la </w:t>
      </w:r>
      <w:hyperlink r:id="rId7" w:tooltip="Sol Kerzner" w:history="1">
        <w:r w:rsidRPr="003D2944">
          <w:rPr>
            <w:rFonts w:asciiTheme="minorBidi" w:eastAsia="Times New Roman" w:hAnsiTheme="minorBidi"/>
            <w:color w:val="202122"/>
            <w:sz w:val="24"/>
            <w:szCs w:val="24"/>
            <w:lang w:eastAsia="fr-FR"/>
          </w:rPr>
          <w:t>société sud-africaine Kerzner</w:t>
        </w:r>
      </w:hyperlink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> International, la </w:t>
      </w:r>
      <w:hyperlink r:id="rId8" w:tooltip="Caisse de Dépôt et de Gestion" w:history="1">
        <w:r w:rsidRPr="003D2944">
          <w:rPr>
            <w:rFonts w:asciiTheme="minorBidi" w:eastAsia="Times New Roman" w:hAnsiTheme="minorBidi"/>
            <w:color w:val="202122"/>
            <w:sz w:val="24"/>
            <w:szCs w:val="24"/>
            <w:lang w:eastAsia="fr-FR"/>
          </w:rPr>
          <w:t>Caisse de Dépôt et de Gestion</w:t>
        </w:r>
      </w:hyperlink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 xml:space="preserve"> et la Société </w:t>
      </w:r>
      <w:proofErr w:type="spellStart"/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>Maroco</w:t>
      </w:r>
      <w:proofErr w:type="spellEnd"/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 xml:space="preserve"> Emirati de Développement dans le cadre du </w:t>
      </w:r>
      <w:hyperlink r:id="rId9" w:tooltip="Plan azur" w:history="1">
        <w:r w:rsidRPr="003D2944">
          <w:rPr>
            <w:rFonts w:asciiTheme="minorBidi" w:eastAsia="Times New Roman" w:hAnsiTheme="minorBidi"/>
            <w:color w:val="202122"/>
            <w:sz w:val="24"/>
            <w:szCs w:val="24"/>
            <w:lang w:eastAsia="fr-FR"/>
          </w:rPr>
          <w:t>plan azur</w:t>
        </w:r>
      </w:hyperlink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>. Le programme comprend les installations suivantes :</w:t>
      </w:r>
    </w:p>
    <w:p w:rsidR="003D2944" w:rsidRPr="003D2944" w:rsidRDefault="003D2944" w:rsidP="003D294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inorBidi" w:eastAsia="Times New Roman" w:hAnsiTheme="minorBidi"/>
          <w:color w:val="202122"/>
          <w:sz w:val="24"/>
          <w:szCs w:val="24"/>
          <w:lang w:eastAsia="fr-FR"/>
        </w:rPr>
      </w:pPr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>78 pôle d'animation autour des deux lagons ;</w:t>
      </w:r>
    </w:p>
    <w:p w:rsidR="003D2944" w:rsidRPr="003D2944" w:rsidRDefault="003D2944" w:rsidP="003D294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inorBidi" w:eastAsia="Times New Roman" w:hAnsiTheme="minorBidi"/>
          <w:color w:val="202122"/>
          <w:sz w:val="24"/>
          <w:szCs w:val="24"/>
          <w:lang w:eastAsia="fr-FR"/>
        </w:rPr>
      </w:pPr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>1 académie de sport avec deux terrain, sous les normes de la FIFA ;</w:t>
      </w:r>
    </w:p>
    <w:p w:rsidR="003D2944" w:rsidRPr="003D2944" w:rsidRDefault="003D2944" w:rsidP="003D294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inorBidi" w:eastAsia="Times New Roman" w:hAnsiTheme="minorBidi"/>
          <w:color w:val="202122"/>
          <w:sz w:val="24"/>
          <w:szCs w:val="24"/>
          <w:lang w:eastAsia="fr-FR"/>
        </w:rPr>
      </w:pPr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 xml:space="preserve">1 golf en ligne face à l'océan de 18 </w:t>
      </w:r>
      <w:proofErr w:type="gramStart"/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>trous  ;</w:t>
      </w:r>
      <w:proofErr w:type="gramEnd"/>
    </w:p>
    <w:p w:rsidR="003D2944" w:rsidRPr="003D2944" w:rsidRDefault="003D2944" w:rsidP="003D294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inorBidi" w:eastAsia="Times New Roman" w:hAnsiTheme="minorBidi"/>
          <w:color w:val="202122"/>
          <w:sz w:val="24"/>
          <w:szCs w:val="24"/>
          <w:lang w:eastAsia="fr-FR"/>
        </w:rPr>
      </w:pPr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>1 centre de congrès.</w:t>
      </w:r>
    </w:p>
    <w:p w:rsidR="003D2944" w:rsidRPr="003D2944" w:rsidRDefault="003D2944" w:rsidP="003D294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inorBidi" w:eastAsia="Times New Roman" w:hAnsiTheme="minorBidi"/>
          <w:color w:val="202122"/>
          <w:sz w:val="24"/>
          <w:szCs w:val="24"/>
          <w:lang w:eastAsia="fr-FR"/>
        </w:rPr>
      </w:pPr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 xml:space="preserve">13 restaurants et </w:t>
      </w:r>
      <w:proofErr w:type="gramStart"/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>bars;</w:t>
      </w:r>
      <w:proofErr w:type="gramEnd"/>
    </w:p>
    <w:p w:rsidR="003D2944" w:rsidRPr="003D2944" w:rsidRDefault="003D2944" w:rsidP="003D294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inorBidi" w:eastAsia="Times New Roman" w:hAnsiTheme="minorBidi"/>
          <w:color w:val="202122"/>
          <w:sz w:val="24"/>
          <w:szCs w:val="24"/>
          <w:lang w:eastAsia="fr-FR"/>
        </w:rPr>
      </w:pPr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 xml:space="preserve">2 terrains de </w:t>
      </w:r>
      <w:proofErr w:type="gramStart"/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>tennis;</w:t>
      </w:r>
      <w:proofErr w:type="gramEnd"/>
    </w:p>
    <w:p w:rsidR="003D2944" w:rsidRPr="003D2944" w:rsidRDefault="003D2944" w:rsidP="003D294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inorBidi" w:eastAsia="Times New Roman" w:hAnsiTheme="minorBidi"/>
          <w:color w:val="202122"/>
          <w:sz w:val="24"/>
          <w:szCs w:val="24"/>
          <w:lang w:eastAsia="fr-FR"/>
        </w:rPr>
      </w:pPr>
      <w:proofErr w:type="gramStart"/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>Karting;</w:t>
      </w:r>
      <w:proofErr w:type="gramEnd"/>
    </w:p>
    <w:p w:rsidR="003D2944" w:rsidRPr="003D2944" w:rsidRDefault="003D2944" w:rsidP="003D294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inorBidi" w:eastAsia="Times New Roman" w:hAnsiTheme="minorBidi"/>
          <w:color w:val="202122"/>
          <w:sz w:val="24"/>
          <w:szCs w:val="24"/>
          <w:lang w:eastAsia="fr-FR"/>
        </w:rPr>
      </w:pPr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>Paint-</w:t>
      </w:r>
      <w:proofErr w:type="gramStart"/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>ball;</w:t>
      </w:r>
      <w:proofErr w:type="gramEnd"/>
    </w:p>
    <w:p w:rsidR="003D2944" w:rsidRPr="003D2944" w:rsidRDefault="003D2944" w:rsidP="003D294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inorBidi" w:eastAsia="Times New Roman" w:hAnsiTheme="minorBidi"/>
          <w:color w:val="202122"/>
          <w:sz w:val="24"/>
          <w:szCs w:val="24"/>
          <w:lang w:eastAsia="fr-FR"/>
        </w:rPr>
      </w:pPr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 xml:space="preserve">Tir à </w:t>
      </w:r>
      <w:proofErr w:type="gramStart"/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>l'arc;</w:t>
      </w:r>
      <w:proofErr w:type="gramEnd"/>
    </w:p>
    <w:p w:rsidR="003D2944" w:rsidRPr="003D2944" w:rsidRDefault="003D2944" w:rsidP="003D294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inorBidi" w:eastAsia="Times New Roman" w:hAnsiTheme="minorBidi"/>
          <w:color w:val="202122"/>
          <w:sz w:val="24"/>
          <w:szCs w:val="24"/>
          <w:lang w:eastAsia="fr-FR"/>
        </w:rPr>
      </w:pPr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>Club équestre ;</w:t>
      </w:r>
    </w:p>
    <w:p w:rsidR="003D2944" w:rsidRPr="003D2944" w:rsidRDefault="003D2944" w:rsidP="003D294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inorBidi" w:eastAsia="Times New Roman" w:hAnsiTheme="minorBidi"/>
          <w:color w:val="202122"/>
          <w:sz w:val="24"/>
          <w:szCs w:val="24"/>
          <w:lang w:eastAsia="fr-FR"/>
        </w:rPr>
      </w:pPr>
      <w:proofErr w:type="gramStart"/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>Quads;</w:t>
      </w:r>
      <w:proofErr w:type="gramEnd"/>
    </w:p>
    <w:p w:rsidR="003D2944" w:rsidRPr="003D2944" w:rsidRDefault="003D2944" w:rsidP="003D294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inorBidi" w:eastAsia="Times New Roman" w:hAnsiTheme="minorBidi"/>
          <w:color w:val="202122"/>
          <w:sz w:val="24"/>
          <w:szCs w:val="24"/>
          <w:lang w:eastAsia="fr-FR"/>
        </w:rPr>
      </w:pPr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>Jet-</w:t>
      </w:r>
      <w:proofErr w:type="spellStart"/>
      <w:proofErr w:type="gramStart"/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>sky</w:t>
      </w:r>
      <w:proofErr w:type="spellEnd"/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>;</w:t>
      </w:r>
      <w:proofErr w:type="gramEnd"/>
    </w:p>
    <w:p w:rsidR="003D2944" w:rsidRPr="003D2944" w:rsidRDefault="003D2944" w:rsidP="003D294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inorBidi" w:eastAsia="Times New Roman" w:hAnsiTheme="minorBidi"/>
          <w:color w:val="202122"/>
          <w:sz w:val="24"/>
          <w:szCs w:val="24"/>
          <w:lang w:eastAsia="fr-FR"/>
        </w:rPr>
      </w:pPr>
      <w:proofErr w:type="gramStart"/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>Surf;</w:t>
      </w:r>
      <w:proofErr w:type="gramEnd"/>
    </w:p>
    <w:p w:rsidR="003D2944" w:rsidRPr="003D2944" w:rsidRDefault="003D2944" w:rsidP="003D294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inorBidi" w:eastAsia="Times New Roman" w:hAnsiTheme="minorBidi"/>
          <w:color w:val="202122"/>
          <w:sz w:val="24"/>
          <w:szCs w:val="24"/>
          <w:lang w:eastAsia="fr-FR"/>
        </w:rPr>
      </w:pPr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 xml:space="preserve">Salle du </w:t>
      </w:r>
      <w:proofErr w:type="gramStart"/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>sport;</w:t>
      </w:r>
      <w:proofErr w:type="gramEnd"/>
    </w:p>
    <w:p w:rsidR="003D2944" w:rsidRPr="003D2944" w:rsidRDefault="003D2944" w:rsidP="003D294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inorBidi" w:eastAsia="Times New Roman" w:hAnsiTheme="minorBidi"/>
          <w:color w:val="202122"/>
          <w:sz w:val="24"/>
          <w:szCs w:val="24"/>
          <w:lang w:eastAsia="fr-FR"/>
        </w:rPr>
      </w:pPr>
      <w:proofErr w:type="gramStart"/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>SPA;</w:t>
      </w:r>
      <w:proofErr w:type="gramEnd"/>
    </w:p>
    <w:p w:rsidR="003D2944" w:rsidRPr="003D2944" w:rsidRDefault="003D2944" w:rsidP="003D294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inorBidi" w:eastAsia="Times New Roman" w:hAnsiTheme="minorBidi"/>
          <w:color w:val="202122"/>
          <w:sz w:val="24"/>
          <w:szCs w:val="24"/>
          <w:lang w:eastAsia="fr-FR"/>
        </w:rPr>
      </w:pPr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 xml:space="preserve">Baby </w:t>
      </w:r>
      <w:proofErr w:type="gramStart"/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>Club;</w:t>
      </w:r>
      <w:proofErr w:type="gramEnd"/>
    </w:p>
    <w:p w:rsidR="003D2944" w:rsidRPr="003D2944" w:rsidRDefault="003D2944" w:rsidP="003D294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inorBidi" w:eastAsia="Times New Roman" w:hAnsiTheme="minorBidi"/>
          <w:color w:val="202122"/>
          <w:sz w:val="24"/>
          <w:szCs w:val="24"/>
          <w:lang w:eastAsia="fr-FR"/>
        </w:rPr>
      </w:pPr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 xml:space="preserve">Kids </w:t>
      </w:r>
      <w:proofErr w:type="gramStart"/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>Club;</w:t>
      </w:r>
      <w:proofErr w:type="gramEnd"/>
    </w:p>
    <w:p w:rsidR="003D2944" w:rsidRPr="003D2944" w:rsidRDefault="003D2944" w:rsidP="003D294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inorBidi" w:eastAsia="Times New Roman" w:hAnsiTheme="minorBidi"/>
          <w:color w:val="202122"/>
          <w:sz w:val="24"/>
          <w:szCs w:val="24"/>
          <w:lang w:eastAsia="fr-FR"/>
        </w:rPr>
      </w:pPr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 xml:space="preserve">Rush </w:t>
      </w:r>
      <w:proofErr w:type="gramStart"/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>Club;</w:t>
      </w:r>
      <w:proofErr w:type="gramEnd"/>
    </w:p>
    <w:p w:rsidR="003D2944" w:rsidRPr="003D2944" w:rsidRDefault="003D2944" w:rsidP="003D294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inorBidi" w:eastAsia="Times New Roman" w:hAnsiTheme="minorBidi"/>
          <w:color w:val="202122"/>
          <w:sz w:val="24"/>
          <w:szCs w:val="24"/>
          <w:lang w:eastAsia="fr-FR"/>
        </w:rPr>
      </w:pPr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 xml:space="preserve">7 km de plage </w:t>
      </w:r>
      <w:proofErr w:type="gramStart"/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>privée;</w:t>
      </w:r>
      <w:proofErr w:type="gramEnd"/>
    </w:p>
    <w:p w:rsidR="003D2944" w:rsidRPr="003D2944" w:rsidRDefault="003D2944" w:rsidP="003D294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inorBidi" w:eastAsia="Times New Roman" w:hAnsiTheme="minorBidi"/>
          <w:color w:val="202122"/>
          <w:sz w:val="24"/>
          <w:szCs w:val="24"/>
          <w:lang w:eastAsia="fr-FR"/>
        </w:rPr>
      </w:pPr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 xml:space="preserve">492 </w:t>
      </w:r>
      <w:proofErr w:type="gramStart"/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>Chambres;</w:t>
      </w:r>
      <w:proofErr w:type="gramEnd"/>
    </w:p>
    <w:p w:rsidR="003D2944" w:rsidRPr="003D2944" w:rsidRDefault="003D2944" w:rsidP="003D294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inorBidi" w:eastAsia="Times New Roman" w:hAnsiTheme="minorBidi"/>
          <w:color w:val="202122"/>
          <w:sz w:val="24"/>
          <w:szCs w:val="24"/>
          <w:lang w:eastAsia="fr-FR"/>
        </w:rPr>
      </w:pPr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 xml:space="preserve">2 Royal </w:t>
      </w:r>
      <w:proofErr w:type="gramStart"/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>Suites;</w:t>
      </w:r>
      <w:proofErr w:type="gramEnd"/>
    </w:p>
    <w:p w:rsidR="003D2944" w:rsidRPr="003D2944" w:rsidRDefault="003D2944" w:rsidP="003D294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inorBidi" w:eastAsia="Times New Roman" w:hAnsiTheme="minorBidi"/>
          <w:color w:val="202122"/>
          <w:sz w:val="24"/>
          <w:szCs w:val="24"/>
          <w:lang w:eastAsia="fr-FR"/>
        </w:rPr>
      </w:pPr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 xml:space="preserve">Jockey </w:t>
      </w:r>
      <w:proofErr w:type="gramStart"/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>Club;</w:t>
      </w:r>
      <w:proofErr w:type="gramEnd"/>
    </w:p>
    <w:p w:rsidR="002E21C4" w:rsidRPr="003D2944" w:rsidRDefault="003D2944" w:rsidP="003D2944">
      <w:pPr>
        <w:shd w:val="clear" w:color="auto" w:fill="FFFFFF"/>
        <w:spacing w:before="120" w:after="240" w:line="240" w:lineRule="auto"/>
        <w:rPr>
          <w:rFonts w:asciiTheme="minorBidi" w:eastAsia="Times New Roman" w:hAnsiTheme="minorBidi"/>
          <w:color w:val="202122"/>
          <w:sz w:val="24"/>
          <w:szCs w:val="24"/>
          <w:lang w:eastAsia="fr-FR"/>
        </w:rPr>
      </w:pPr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 xml:space="preserve">L'hôtel a été construit par la société belge </w:t>
      </w:r>
      <w:proofErr w:type="spellStart"/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>Besix</w:t>
      </w:r>
      <w:proofErr w:type="spellEnd"/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 xml:space="preserve"> en collaboration avec </w:t>
      </w:r>
      <w:proofErr w:type="spellStart"/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>Somagec</w:t>
      </w:r>
      <w:proofErr w:type="spellEnd"/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 xml:space="preserve">, une société marocaine. L'aménagement intérieur de l'hôtel ainsi que les villas sont </w:t>
      </w:r>
      <w:proofErr w:type="gramStart"/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>réalisées</w:t>
      </w:r>
      <w:proofErr w:type="gramEnd"/>
      <w:r w:rsidRPr="003D2944">
        <w:rPr>
          <w:rFonts w:asciiTheme="minorBidi" w:eastAsia="Times New Roman" w:hAnsiTheme="minorBidi"/>
          <w:color w:val="202122"/>
          <w:sz w:val="24"/>
          <w:szCs w:val="24"/>
          <w:lang w:eastAsia="fr-FR"/>
        </w:rPr>
        <w:t xml:space="preserve"> par DEPA Maroc. Il emploie plus de 1500 employés, à parité de femmes et d'hommes, venus du monde entier et exerçant 300 métiers différents.</w:t>
      </w:r>
      <w:bookmarkStart w:id="0" w:name="_GoBack"/>
      <w:bookmarkEnd w:id="0"/>
    </w:p>
    <w:sectPr w:rsidR="002E21C4" w:rsidRPr="003D29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515AB"/>
    <w:multiLevelType w:val="multilevel"/>
    <w:tmpl w:val="C75A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44"/>
    <w:rsid w:val="002E21C4"/>
    <w:rsid w:val="003D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C8FF4"/>
  <w15:chartTrackingRefBased/>
  <w15:docId w15:val="{70D74CFC-FC6A-423F-B142-B2F8880D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2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D29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Caisse_de_D%C3%A9p%C3%B4t_et_de_Ges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Sol_Kerz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Atlantiqu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r.wikipedia.org/wiki/Maro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Plan_azu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2024-09-25T11:58:00Z</dcterms:created>
  <dcterms:modified xsi:type="dcterms:W3CDTF">2024-09-25T12:05:00Z</dcterms:modified>
</cp:coreProperties>
</file>