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rPr>
          <w:b/>
          <w:sz w:val="28"/>
          <w:szCs w:val="28"/>
        </w:rPr>
      </w:pPr>
      <w:r/>
      <w:bookmarkStart w:id="0" w:name="_GoBack"/>
      <w:r/>
      <w:bookmarkEnd w:id="0"/>
      <w:r>
        <w:rPr>
          <w:b/>
          <w:sz w:val="28"/>
          <w:szCs w:val="28"/>
        </w:rPr>
        <w:t xml:space="preserve">Anmeldung eines Themas für ein/e</w:t>
      </w:r>
      <w:r/>
    </w:p>
    <w:p>
      <w:pPr>
        <w:pStyle w:val="845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45"/>
        <w:tabs>
          <w:tab w:val="left" w:pos="4253" w:leader="none"/>
          <w:tab w:val="right" w:pos="8789" w:leader="none"/>
        </w:tabs>
      </w:pPr>
      <w:r>
        <w:rPr>
          <w:b/>
          <w:sz w:val="28"/>
          <w:szCs w:val="28"/>
        </w:rPr>
        <w:t xml:space="preserve">Forschungsseminar</w:t>
        <w:tab/>
      </w:r>
      <w:r>
        <w:rPr>
          <w:b/>
          <w:sz w:val="28"/>
          <w:szCs w:val="28"/>
        </w:rPr>
        <w:t xml:space="preserve">x</w:t>
      </w:r>
      <w:r/>
    </w:p>
    <w:p>
      <w:pPr>
        <w:pStyle w:val="845"/>
        <w:tabs>
          <w:tab w:val="left" w:pos="4253" w:leader="none"/>
          <w:tab w:val="right" w:pos="8789" w:leader="none"/>
        </w:tabs>
      </w:pPr>
      <w:r>
        <w:rPr>
          <w:b/>
          <w:sz w:val="28"/>
          <w:szCs w:val="28"/>
        </w:rPr>
        <w:t xml:space="preserve">Methodenseminar</w:t>
        <w:tab/>
      </w:r>
      <w:r>
        <w:rPr>
          <w:b/>
          <w:sz w:val="28"/>
          <w:szCs w:val="28"/>
        </w:rPr>
        <w:t xml:space="preserve">x</w:t>
      </w:r>
      <w:r/>
    </w:p>
    <w:p>
      <w:pPr>
        <w:pStyle w:val="845"/>
        <w:tabs>
          <w:tab w:val="left" w:pos="4253" w:leader="none"/>
          <w:tab w:val="right" w:pos="8931" w:leader="none"/>
        </w:tabs>
      </w:pPr>
      <w:r>
        <w:rPr>
          <w:b/>
          <w:sz w:val="28"/>
          <w:szCs w:val="28"/>
        </w:rPr>
        <w:t xml:space="preserve">Masterarbeit</w:t>
        <w:tab/>
      </w:r>
      <w:r>
        <w:rPr>
          <w:b/>
          <w:sz w:val="28"/>
          <w:szCs w:val="28"/>
        </w:rPr>
        <w:t xml:space="preserve">x</w:t>
      </w:r>
      <w:r>
        <w:rPr>
          <w:b/>
          <w:sz w:val="28"/>
          <w:szCs w:val="28"/>
        </w:rPr>
        <w:tab/>
      </w:r>
      <w:r>
        <w:t xml:space="preserve">(bitte eines oder mehrere ankreuzen)</w:t>
      </w:r>
      <w:r>
        <w:rPr>
          <w:b/>
          <w:sz w:val="28"/>
          <w:szCs w:val="28"/>
        </w:rPr>
        <w:t xml:space="preserve"> </w:t>
      </w:r>
      <w:r/>
    </w:p>
    <w:p>
      <w:pPr>
        <w:pStyle w:val="845"/>
      </w:pPr>
      <w:r/>
      <w:r/>
    </w:p>
    <w:tbl>
      <w:tblPr>
        <w:tblW w:w="9092" w:type="dxa"/>
        <w:tblInd w:w="-10" w:type="dxa"/>
        <w:tblBorders>
          <w:left w:val="single" w:color="000001" w:sz="4" w:space="0"/>
          <w:top w:val="single" w:color="000001" w:sz="4" w:space="0"/>
          <w:right w:val="single" w:color="000001" w:sz="4" w:space="0"/>
          <w:bottom w:val="single" w:color="000001" w:sz="4" w:space="0"/>
          <w:insideV w:val="single" w:color="000001" w:sz="4" w:space="0"/>
          <w:insideH w:val="single" w:color="000001" w:sz="4" w:space="0"/>
        </w:tblBorders>
        <w:tblCellMar>
          <w:left w:w="9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42"/>
        <w:gridCol w:w="7049"/>
      </w:tblGrid>
      <w:tr>
        <w:trPr/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Thema</w:t>
            </w:r>
            <w:r/>
          </w:p>
          <w:p>
            <w:pPr>
              <w:pStyle w:val="845"/>
            </w:pPr>
            <w:r>
              <w:t xml:space="preserve">Datum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</w:pPr>
            <w:r>
              <w:t xml:space="preserve">Analyse </w:t>
            </w:r>
            <w:r>
              <w:t xml:space="preserve">des Lebenszyklus von Gewittern mittels geostationärer Satellitenbeobachtungen</w:t>
            </w:r>
            <w:r/>
          </w:p>
        </w:tc>
      </w:tr>
      <w:tr>
        <w:trPr>
          <w:trHeight w:val="1318"/>
        </w:trPr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Betreuer </w:t>
            </w:r>
            <w:r/>
          </w:p>
          <w:p>
            <w:pPr>
              <w:pStyle w:val="845"/>
            </w:pPr>
            <w:r>
              <w:t xml:space="preserve">(mit Kontaktdaten)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</w:pPr>
            <w:r>
              <w:t xml:space="preserve">Prof. Dr. Andreas Macke</w:t>
            </w:r>
            <w:r/>
          </w:p>
          <w:p>
            <w:pPr>
              <w:pStyle w:val="845"/>
            </w:pPr>
            <w:r>
              <w:t xml:space="preserve">Leibniz-Insitut für Troposphärenforschung</w:t>
            </w:r>
            <w:r/>
          </w:p>
          <w:p>
            <w:pPr>
              <w:pStyle w:val="845"/>
            </w:pPr>
            <w:r>
              <w:t xml:space="preserve">Permoser Str. 15, 04318 Leipzig</w:t>
            </w:r>
            <w:r/>
          </w:p>
          <w:p>
            <w:pPr>
              <w:pStyle w:val="845"/>
            </w:pPr>
            <w:r>
              <w:t xml:space="preserve">Tel: 0341-2717-7060, E-Mail: andreas.macke@tropos.de</w:t>
            </w:r>
            <w:r/>
          </w:p>
          <w:p>
            <w:pPr>
              <w:pStyle w:val="845"/>
            </w:pPr>
            <w:r/>
            <w:r/>
          </w:p>
        </w:tc>
      </w:tr>
      <w:tr>
        <w:trPr/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Ggfs. weitere Kontaktperson</w:t>
            </w:r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</w:pPr>
            <w:r>
              <w:t xml:space="preserve">Hartwig Deneke</w:t>
            </w:r>
            <w:r/>
          </w:p>
          <w:p>
            <w:pPr>
              <w:pStyle w:val="845"/>
            </w:pPr>
            <w:r>
              <w:t xml:space="preserve">Leibniz-Insitut für Troposphärenforschung</w:t>
            </w:r>
            <w:r/>
          </w:p>
          <w:p>
            <w:pPr>
              <w:pStyle w:val="845"/>
            </w:pPr>
            <w:r>
              <w:t xml:space="preserve">Permoser Str. 15, 04318 Leipzig</w:t>
            </w:r>
            <w:r/>
          </w:p>
          <w:p>
            <w:pPr>
              <w:pStyle w:val="845"/>
            </w:pPr>
            <w:r>
              <w:t xml:space="preserve">Tel: 0341-2717-7168, E-Mail: deneke@tropos.de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Zweitgutachter</w:t>
            </w:r>
            <w:r/>
          </w:p>
          <w:p>
            <w:pPr>
              <w:pStyle w:val="845"/>
            </w:pPr>
            <w:r/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</w:pPr>
            <w:r>
              <w:t xml:space="preserve">Prof. Dr. Johannes Quaas </w:t>
            </w:r>
            <w:r>
              <w:t xml:space="preserve">(?)</w:t>
            </w:r>
            <w:r/>
          </w:p>
        </w:tc>
      </w:tr>
      <w:tr>
        <w:trPr/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Kurzbeschreibung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</w:pPr>
            <w:r>
              <w:t xml:space="preserve">Sem. Forschung: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Anwendung von bestehenden Methoden zum Wolkentracking mittels geostationärer Satellitenbeobachtungen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Vergleich der Genauigkeit / Eignung der Methoden für unterschiedliche synoptische Situationen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Ableitung von Zeitserien von charakteristischen Wolkeneigenschaften mittels objektbasierter Methoden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>
              <w:t xml:space="preserve">Sem. Methoden:</w:t>
            </w:r>
            <w:r/>
          </w:p>
          <w:p>
            <w:pPr>
              <w:pStyle w:val="845"/>
            </w:pPr>
            <w:r>
              <w:t xml:space="preserve">* Methoden zu</w:t>
            </w:r>
            <w:r>
              <w:t xml:space="preserve">m Tracking von hochreichenden konvektiven Wolken und Gewittern in geostationären </w:t>
            </w:r>
            <w:r>
              <w:t xml:space="preserve">Satellitendaten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Objekt-basierte Methoden zur Charakterisierung des Lebenszyklus von hochreichenden konvektiven Wolken und Unwettern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>
              <w:t xml:space="preserve">Masterarbeit: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Erstellen einer Falldatenbank von Gewittersituationen </w:t>
            </w:r>
            <w:r/>
          </w:p>
          <w:p>
            <w:pPr>
              <w:pStyle w:val="845"/>
            </w:pPr>
            <w:r>
              <w:t xml:space="preserve">* </w:t>
            </w:r>
            <w:r>
              <w:t xml:space="preserve">Beschreibung des Lebenszyklus von Gewittern anhand von verschiedenen Objekteigenschaften und ggfs. weiteren Daten (Niederschlagsradar, Blitzdaten)</w:t>
            </w:r>
            <w:r/>
          </w:p>
          <w:p>
            <w:pPr>
              <w:pStyle w:val="845"/>
            </w:pPr>
            <w:r>
              <w:t xml:space="preserve">* Potenzial für Nowcasting: </w:t>
            </w:r>
            <w:r>
              <w:t xml:space="preserve">Welche Objekteigenschaften sind Anzeichen für ein hohes Gefahrenpotenzial eines Unwetters? Gibt es hier Frühindikatoren für die zukünftige Entwicklung?</w:t>
            </w:r>
            <w:r/>
          </w:p>
        </w:tc>
      </w:tr>
      <w:tr>
        <w:trPr>
          <w:trHeight w:val="2325"/>
        </w:trPr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2042" w:type="dxa"/>
            <w:textDirection w:val="lrTb"/>
            <w:noWrap w:val="false"/>
          </w:tcPr>
          <w:p>
            <w:pPr>
              <w:pStyle w:val="845"/>
            </w:pPr>
            <w:r>
              <w:t xml:space="preserve">Literatur:</w:t>
            </w:r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  <w:p>
            <w:pPr>
              <w:pStyle w:val="845"/>
            </w:pPr>
            <w:r/>
            <w:r/>
          </w:p>
        </w:tc>
        <w:tc>
          <w:tcPr>
            <w:shd w:val="clear" w:color="auto" w:fill="auto"/>
            <w:tcBorders>
              <w:left w:val="single" w:color="000001" w:sz="4" w:space="0"/>
              <w:top w:val="single" w:color="000001" w:sz="4" w:space="0"/>
              <w:right w:val="single" w:color="000001" w:sz="4" w:space="0"/>
              <w:bottom w:val="single" w:color="000001" w:sz="4" w:space="0"/>
              <w:insideV w:val="single" w:color="000001" w:sz="4" w:space="0"/>
              <w:insideH w:val="single" w:color="000001" w:sz="4" w:space="0"/>
            </w:tcBorders>
            <w:tcMar>
              <w:left w:w="98" w:type="dxa"/>
            </w:tcMar>
            <w:tcW w:w="7049" w:type="dxa"/>
            <w:textDirection w:val="lrTb"/>
            <w:noWrap w:val="false"/>
          </w:tcPr>
          <w:p>
            <w:pPr>
              <w:pStyle w:val="845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Heikenfeld, M., Marinescu, P. J., Christen</w:t>
            </w:r>
            <w:r>
              <w:rPr>
                <w:b w:val="false"/>
                <w:bCs w:val="false"/>
                <w:sz w:val="18"/>
                <w:szCs w:val="18"/>
              </w:rPr>
              <w:t xml:space="preserve">sen, M., Watson-Parris, D., Senf, F., van den Heever, S. C., and Stier, P.: tobac 1.2: towards a flexible framework for tracking and analysis of clouds in diverse datasets, Geosci. Model Dev., 12, 4551–4570, https://doi.org/10.5194/gmd-12-4551-2019, 2019. </w:t>
            </w:r>
            <w:r/>
          </w:p>
          <w:p>
            <w:pPr>
              <w:pStyle w:val="845"/>
              <w:rPr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Rempel, M., Senf, F., &amp; Deneke, H. (2017). Object-based metrics for forecast verification of convective development with geostationary satellite data. </w:t>
            </w:r>
            <w:r>
              <w:rPr>
                <w:b w:val="false"/>
                <w:bCs w:val="false"/>
                <w:i/>
                <w:sz w:val="18"/>
                <w:szCs w:val="18"/>
              </w:rPr>
              <w:t xml:space="preserve">Monthly Weather Review</w:t>
            </w:r>
            <w:r>
              <w:rPr>
                <w:b w:val="false"/>
                <w:bCs w:val="false"/>
                <w:sz w:val="18"/>
                <w:szCs w:val="18"/>
              </w:rPr>
              <w:t xml:space="preserve">, </w:t>
            </w:r>
            <w:r>
              <w:rPr>
                <w:b w:val="false"/>
                <w:bCs w:val="false"/>
                <w:i/>
                <w:sz w:val="18"/>
                <w:szCs w:val="18"/>
              </w:rPr>
              <w:t xml:space="preserve">145</w:t>
            </w:r>
            <w:r>
              <w:rPr>
                <w:b w:val="false"/>
                <w:bCs w:val="false"/>
                <w:sz w:val="18"/>
                <w:szCs w:val="18"/>
              </w:rPr>
              <w:t xml:space="preserve">(8), 3161-3178.</w:t>
            </w:r>
            <w:r/>
          </w:p>
          <w:p>
            <w:pPr>
              <w:pStyle w:val="845"/>
              <w:rPr>
                <w:b w:val="false"/>
                <w:bCs w:val="false"/>
                <w:sz w:val="18"/>
                <w:szCs w:val="18"/>
                <w:highlight w:val="none"/>
              </w:rPr>
            </w:pPr>
            <w:r>
              <w:rPr>
                <w:b w:val="false"/>
                <w:bCs w:val="false"/>
                <w:sz w:val="18"/>
                <w:szCs w:val="18"/>
              </w:rPr>
              <w:t xml:space="preserve">Senf, F., &amp; Deneke, H. (2017). Satellite-based characterization of convective growth and glaciation and its relationship to precipitation formation over central Europe. </w:t>
            </w:r>
            <w:r>
              <w:rPr>
                <w:b w:val="false"/>
                <w:bCs w:val="false"/>
                <w:i/>
                <w:sz w:val="18"/>
                <w:szCs w:val="18"/>
              </w:rPr>
              <w:t xml:space="preserve">Journal of Applied Meteorology and Climatology</w:t>
            </w:r>
            <w:r>
              <w:rPr>
                <w:b w:val="false"/>
                <w:bCs w:val="false"/>
                <w:sz w:val="18"/>
                <w:szCs w:val="18"/>
              </w:rPr>
              <w:t xml:space="preserve">, </w:t>
            </w:r>
            <w:r>
              <w:rPr>
                <w:b w:val="false"/>
                <w:bCs w:val="false"/>
                <w:i/>
                <w:sz w:val="18"/>
                <w:szCs w:val="18"/>
              </w:rPr>
              <w:t xml:space="preserve">56</w:t>
            </w:r>
            <w:r>
              <w:rPr>
                <w:b w:val="false"/>
                <w:bCs w:val="false"/>
                <w:sz w:val="18"/>
                <w:szCs w:val="18"/>
              </w:rPr>
              <w:t xml:space="preserve">(7), 1827-1845.</w:t>
            </w:r>
            <w:r/>
          </w:p>
          <w:p>
            <w:pPr>
              <w:rPr>
                <w:b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  <w:highlight w:val="none"/>
              </w:rPr>
            </w:r>
            <w:r>
              <w:rPr>
                <w:sz w:val="18"/>
                <w:highlight w:val="white"/>
              </w:rPr>
              <w:t xml:space="preserve">Bonelli, P., &amp; Marcacci, P. (2008). Thunderstorm nowcasting by means of lightning and radar data: algorithms and applications in northern Italy. </w:t>
            </w:r>
            <w:r>
              <w:rPr>
                <w:i/>
                <w:sz w:val="18"/>
                <w:highlight w:val="white"/>
              </w:rPr>
              <w:t xml:space="preserve">Natural Hazards and Earth System Sciences</w:t>
            </w:r>
            <w:r>
              <w:rPr>
                <w:sz w:val="18"/>
                <w:highlight w:val="white"/>
              </w:rPr>
              <w:t xml:space="preserve">, </w:t>
            </w:r>
            <w:r>
              <w:rPr>
                <w:sz w:val="18"/>
                <w:highlight w:val="white"/>
              </w:rPr>
              <w:t xml:space="preserve">8</w:t>
            </w:r>
            <w:r>
              <w:rPr>
                <w:sz w:val="18"/>
                <w:highlight w:val="white"/>
              </w:rPr>
              <w:t xml:space="preserve">(5), 1187-1198.</w:t>
            </w:r>
            <w:r>
              <w:rPr>
                <w:b w:val="false"/>
                <w:bCs w:val="false"/>
                <w:sz w:val="18"/>
                <w:szCs w:val="18"/>
                <w:highlight w:val="none"/>
              </w:rPr>
            </w:r>
            <w:r>
              <w:rPr>
                <w:b w:val="false"/>
                <w:bCs w:val="false"/>
                <w:sz w:val="18"/>
                <w:szCs w:val="18"/>
                <w:highlight w:val="none"/>
              </w:rPr>
            </w:r>
          </w:p>
        </w:tc>
      </w:tr>
    </w:tbl>
    <w:p>
      <w:pPr>
        <w:pStyle w:val="845"/>
      </w:pPr>
      <w:r/>
      <w:r/>
    </w:p>
    <w:p>
      <w:pPr>
        <w:pStyle w:val="845"/>
      </w:pPr>
      <w:r/>
      <w:r/>
    </w:p>
    <w:p>
      <w:pPr>
        <w:pStyle w:val="845"/>
        <w:jc w:val="both"/>
        <w:rPr>
          <w:sz w:val="22"/>
          <w:szCs w:val="22"/>
        </w:rPr>
      </w:pPr>
      <w:r/>
      <w:bookmarkStart w:id="1" w:name="_MON_1332856199"/>
      <w:r/>
      <w:bookmarkStart w:id="2" w:name="_MON_1332856194"/>
      <w:r/>
      <w:bookmarkStart w:id="3" w:name="_MON_1332856169"/>
      <w:r/>
      <w:bookmarkStart w:id="4" w:name="_MON_1332856124"/>
      <w:r/>
      <w:bookmarkStart w:id="5" w:name="_MON_1332856112"/>
      <w:r/>
      <w:bookmarkStart w:id="6" w:name="_MON_1332856110"/>
      <w:r/>
      <w:bookmarkStart w:id="7" w:name="_MON_1332856065"/>
      <w:r/>
      <w:bookmarkStart w:id="8" w:name="_MON_1332856052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>
        <w:rPr>
          <w:sz w:val="22"/>
          <w:szCs w:val="22"/>
        </w:rPr>
        <w:tab/>
        <w:tab/>
      </w:r>
      <w:r/>
    </w:p>
    <w:p>
      <w:pPr>
        <w:pStyle w:val="845"/>
        <w:jc w:val="both"/>
      </w:pPr>
      <w:r/>
      <w:r/>
    </w:p>
    <w:sectPr>
      <w:footerReference w:type="default" r:id="rId8"/>
      <w:footnotePr/>
      <w:endnotePr/>
      <w:type w:val="nextPage"/>
      <w:pgSz w:w="11906" w:h="16838" w:orient="portrait"/>
      <w:pgMar w:top="1417" w:right="1417" w:bottom="1134" w:left="1417" w:header="0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Liberation Sans">
    <w:panose1 w:val="020B0604020202020204"/>
  </w:font>
  <w:font w:name="Lohit Devanagari">
    <w:panose1 w:val="020B06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8"/>
      <w:ind w:left="0" w:right="360" w:firstLine="0"/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3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6530"/>
              <wp:effectExtent l="0" t="0" r="0" b="0"/>
              <wp:wrapSquare wrapText="bothSides"/>
              <wp:docPr id="1" name="Frame1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77400" cy="17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868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0.0pt;mso-wrap-distance-top:0.0pt;mso-wrap-distance-right:0.0pt;mso-wrap-distance-bottom:0.0pt;z-index:-3;o:allowoverlap:true;o:allowincell:true;mso-position-horizontal-relative:margin;mso-position-horizontal:right;mso-position-vertical-relative:text;margin-top:0.0pt;mso-position-vertical:absolute;width:6.1pt;height:13.9pt;" coordsize="100000,100000" path="" filled="f" stroked="f">
              <v:path textboxrect="0,0,0,0"/>
              <w10:wrap type="square"/>
              <v:textbox>
                <w:txbxContent>
                  <w:p>
                    <w:pPr>
                      <w:pStyle w:val="868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en-GB" w:bidi="ar-SA" w:eastAsia="en-GB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9">
    <w:name w:val="Heading 1"/>
    <w:basedOn w:val="845"/>
    <w:next w:val="845"/>
    <w:link w:val="67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0">
    <w:name w:val="Heading 1 Char"/>
    <w:basedOn w:val="846"/>
    <w:link w:val="669"/>
    <w:uiPriority w:val="9"/>
    <w:rPr>
      <w:rFonts w:ascii="Arial" w:hAnsi="Arial" w:cs="Arial" w:eastAsia="Arial"/>
      <w:sz w:val="40"/>
      <w:szCs w:val="40"/>
    </w:rPr>
  </w:style>
  <w:style w:type="paragraph" w:styleId="671">
    <w:name w:val="Heading 2"/>
    <w:basedOn w:val="845"/>
    <w:next w:val="845"/>
    <w:link w:val="67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2">
    <w:name w:val="Heading 2 Char"/>
    <w:basedOn w:val="846"/>
    <w:link w:val="671"/>
    <w:uiPriority w:val="9"/>
    <w:rPr>
      <w:rFonts w:ascii="Arial" w:hAnsi="Arial" w:cs="Arial" w:eastAsia="Arial"/>
      <w:sz w:val="34"/>
    </w:rPr>
  </w:style>
  <w:style w:type="paragraph" w:styleId="673">
    <w:name w:val="Heading 3"/>
    <w:basedOn w:val="845"/>
    <w:next w:val="845"/>
    <w:link w:val="67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74">
    <w:name w:val="Heading 3 Char"/>
    <w:basedOn w:val="846"/>
    <w:link w:val="673"/>
    <w:uiPriority w:val="9"/>
    <w:rPr>
      <w:rFonts w:ascii="Arial" w:hAnsi="Arial" w:cs="Arial" w:eastAsia="Arial"/>
      <w:sz w:val="30"/>
      <w:szCs w:val="30"/>
    </w:rPr>
  </w:style>
  <w:style w:type="paragraph" w:styleId="675">
    <w:name w:val="Heading 4"/>
    <w:basedOn w:val="845"/>
    <w:next w:val="845"/>
    <w:link w:val="67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6">
    <w:name w:val="Heading 4 Char"/>
    <w:basedOn w:val="846"/>
    <w:link w:val="675"/>
    <w:uiPriority w:val="9"/>
    <w:rPr>
      <w:rFonts w:ascii="Arial" w:hAnsi="Arial" w:cs="Arial" w:eastAsia="Arial"/>
      <w:b/>
      <w:bCs/>
      <w:sz w:val="26"/>
      <w:szCs w:val="26"/>
    </w:rPr>
  </w:style>
  <w:style w:type="paragraph" w:styleId="677">
    <w:name w:val="Heading 5"/>
    <w:basedOn w:val="845"/>
    <w:next w:val="845"/>
    <w:link w:val="67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8">
    <w:name w:val="Heading 5 Char"/>
    <w:basedOn w:val="846"/>
    <w:link w:val="677"/>
    <w:uiPriority w:val="9"/>
    <w:rPr>
      <w:rFonts w:ascii="Arial" w:hAnsi="Arial" w:cs="Arial" w:eastAsia="Arial"/>
      <w:b/>
      <w:bCs/>
      <w:sz w:val="24"/>
      <w:szCs w:val="24"/>
    </w:rPr>
  </w:style>
  <w:style w:type="paragraph" w:styleId="679">
    <w:name w:val="Heading 6"/>
    <w:basedOn w:val="845"/>
    <w:next w:val="845"/>
    <w:link w:val="68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0">
    <w:name w:val="Heading 6 Char"/>
    <w:basedOn w:val="846"/>
    <w:link w:val="679"/>
    <w:uiPriority w:val="9"/>
    <w:rPr>
      <w:rFonts w:ascii="Arial" w:hAnsi="Arial" w:cs="Arial" w:eastAsia="Arial"/>
      <w:b/>
      <w:bCs/>
      <w:sz w:val="22"/>
      <w:szCs w:val="22"/>
    </w:rPr>
  </w:style>
  <w:style w:type="paragraph" w:styleId="681">
    <w:name w:val="Heading 7"/>
    <w:basedOn w:val="845"/>
    <w:next w:val="845"/>
    <w:link w:val="68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2">
    <w:name w:val="Heading 7 Char"/>
    <w:basedOn w:val="846"/>
    <w:link w:val="6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3">
    <w:name w:val="Heading 8"/>
    <w:basedOn w:val="845"/>
    <w:next w:val="845"/>
    <w:link w:val="68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84">
    <w:name w:val="Heading 8 Char"/>
    <w:basedOn w:val="846"/>
    <w:link w:val="683"/>
    <w:uiPriority w:val="9"/>
    <w:rPr>
      <w:rFonts w:ascii="Arial" w:hAnsi="Arial" w:cs="Arial" w:eastAsia="Arial"/>
      <w:i/>
      <w:iCs/>
      <w:sz w:val="22"/>
      <w:szCs w:val="22"/>
    </w:rPr>
  </w:style>
  <w:style w:type="paragraph" w:styleId="685">
    <w:name w:val="Heading 9"/>
    <w:basedOn w:val="845"/>
    <w:next w:val="845"/>
    <w:link w:val="68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6">
    <w:name w:val="Heading 9 Char"/>
    <w:basedOn w:val="846"/>
    <w:link w:val="685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List Paragraph"/>
    <w:basedOn w:val="845"/>
    <w:qFormat/>
    <w:uiPriority w:val="34"/>
    <w:pPr>
      <w:contextualSpacing w:val="true"/>
      <w:ind w:left="720"/>
    </w:pPr>
  </w:style>
  <w:style w:type="paragraph" w:styleId="688">
    <w:name w:val="No Spacing"/>
    <w:qFormat/>
    <w:uiPriority w:val="1"/>
    <w:pPr>
      <w:spacing w:lineRule="auto" w:line="240" w:after="0" w:before="0"/>
    </w:pPr>
  </w:style>
  <w:style w:type="paragraph" w:styleId="689">
    <w:name w:val="Title"/>
    <w:basedOn w:val="845"/>
    <w:next w:val="845"/>
    <w:link w:val="69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0">
    <w:name w:val="Title Char"/>
    <w:basedOn w:val="846"/>
    <w:link w:val="689"/>
    <w:uiPriority w:val="10"/>
    <w:rPr>
      <w:sz w:val="48"/>
      <w:szCs w:val="48"/>
    </w:rPr>
  </w:style>
  <w:style w:type="paragraph" w:styleId="691">
    <w:name w:val="Subtitle"/>
    <w:basedOn w:val="845"/>
    <w:next w:val="845"/>
    <w:link w:val="692"/>
    <w:qFormat/>
    <w:uiPriority w:val="11"/>
    <w:rPr>
      <w:sz w:val="24"/>
      <w:szCs w:val="24"/>
    </w:rPr>
    <w:pPr>
      <w:spacing w:after="200" w:before="200"/>
    </w:pPr>
  </w:style>
  <w:style w:type="character" w:styleId="692">
    <w:name w:val="Subtitle Char"/>
    <w:basedOn w:val="846"/>
    <w:link w:val="691"/>
    <w:uiPriority w:val="11"/>
    <w:rPr>
      <w:sz w:val="24"/>
      <w:szCs w:val="24"/>
    </w:rPr>
  </w:style>
  <w:style w:type="paragraph" w:styleId="693">
    <w:name w:val="Quote"/>
    <w:basedOn w:val="845"/>
    <w:next w:val="845"/>
    <w:link w:val="694"/>
    <w:qFormat/>
    <w:uiPriority w:val="29"/>
    <w:rPr>
      <w:i/>
    </w:rPr>
    <w:pPr>
      <w:ind w:left="720" w:right="720"/>
    </w:p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5"/>
    <w:next w:val="845"/>
    <w:link w:val="696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5"/>
    <w:link w:val="69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8">
    <w:name w:val="Header Char"/>
    <w:basedOn w:val="846"/>
    <w:link w:val="697"/>
    <w:uiPriority w:val="99"/>
  </w:style>
  <w:style w:type="character" w:styleId="699">
    <w:name w:val="Footer Char"/>
    <w:basedOn w:val="846"/>
    <w:link w:val="868"/>
    <w:uiPriority w:val="99"/>
  </w:style>
  <w:style w:type="character" w:styleId="700">
    <w:name w:val="Caption Char"/>
    <w:basedOn w:val="866"/>
    <w:link w:val="868"/>
    <w:uiPriority w:val="99"/>
  </w:style>
  <w:style w:type="table" w:styleId="701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8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0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1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2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33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34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5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6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4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4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4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43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5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6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7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8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9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0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1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9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9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9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1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1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1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20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1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2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23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24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5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6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rPr>
      <w:sz w:val="18"/>
    </w:rPr>
    <w:pPr>
      <w:spacing w:lineRule="auto" w:line="240" w:after="40"/>
    </w:p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rPr>
      <w:sz w:val="20"/>
    </w:rPr>
    <w:pPr>
      <w:spacing w:lineRule="auto" w:line="240" w:after="0"/>
    </w:p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  <w:rPr>
      <w:rFonts w:ascii="Times New Roman" w:hAnsi="Times New Roman" w:cs="Times New Roman" w:eastAsia="Times New Roman"/>
      <w:color w:val="00000A"/>
      <w:sz w:val="24"/>
      <w:szCs w:val="24"/>
      <w:lang w:val="de-DE" w:bidi="ar-SA" w:eastAsia="de-DE"/>
    </w:rPr>
    <w:pPr>
      <w:jc w:val="left"/>
      <w:widowControl/>
    </w:pPr>
  </w:style>
  <w:style w:type="character" w:styleId="846" w:default="1">
    <w:name w:val="Default Paragraph Font"/>
    <w:qFormat/>
  </w:style>
  <w:style w:type="character" w:styleId="847">
    <w:name w:val="Fußzeile Zchn"/>
    <w:basedOn w:val="846"/>
    <w:qFormat/>
    <w:rPr>
      <w:rFonts w:ascii="Times New Roman" w:hAnsi="Times New Roman" w:cs="Times New Roman" w:eastAsia="Times New Roman"/>
      <w:sz w:val="24"/>
      <w:szCs w:val="24"/>
      <w:lang w:eastAsia="de-DE"/>
    </w:rPr>
  </w:style>
  <w:style w:type="character" w:styleId="848">
    <w:name w:val="page number"/>
    <w:basedOn w:val="846"/>
    <w:qFormat/>
  </w:style>
  <w:style w:type="character" w:styleId="849">
    <w:name w:val="Internet Link"/>
    <w:basedOn w:val="846"/>
    <w:rPr>
      <w:color w:val="0000FF"/>
      <w:u w:val="single"/>
    </w:rPr>
  </w:style>
  <w:style w:type="character" w:styleId="850">
    <w:name w:val="ListLabel 1"/>
    <w:qFormat/>
    <w:rPr>
      <w:rFonts w:cs="Courier New"/>
    </w:rPr>
  </w:style>
  <w:style w:type="character" w:styleId="851">
    <w:name w:val="ListLabel 2"/>
    <w:qFormat/>
    <w:rPr>
      <w:rFonts w:cs="Courier New"/>
    </w:rPr>
  </w:style>
  <w:style w:type="character" w:styleId="852">
    <w:name w:val="ListLabel 3"/>
    <w:qFormat/>
    <w:rPr>
      <w:rFonts w:cs="Courier New"/>
    </w:rPr>
  </w:style>
  <w:style w:type="character" w:styleId="853">
    <w:name w:val="ListLabel 4"/>
    <w:qFormat/>
    <w:rPr>
      <w:rFonts w:cs="Courier New"/>
    </w:rPr>
  </w:style>
  <w:style w:type="character" w:styleId="854">
    <w:name w:val="ListLabel 5"/>
    <w:qFormat/>
    <w:rPr>
      <w:rFonts w:cs="Courier New"/>
    </w:rPr>
  </w:style>
  <w:style w:type="character" w:styleId="855">
    <w:name w:val="ListLabel 6"/>
    <w:qFormat/>
    <w:rPr>
      <w:rFonts w:cs="Courier New"/>
    </w:rPr>
  </w:style>
  <w:style w:type="character" w:styleId="856">
    <w:name w:val="ListLabel 7"/>
    <w:qFormat/>
    <w:rPr>
      <w:rFonts w:cs="Times New Roman" w:eastAsia="Times New Roman"/>
    </w:rPr>
  </w:style>
  <w:style w:type="character" w:styleId="857">
    <w:name w:val="ListLabel 8"/>
    <w:qFormat/>
    <w:rPr>
      <w:rFonts w:cs="Courier New"/>
    </w:rPr>
  </w:style>
  <w:style w:type="character" w:styleId="858">
    <w:name w:val="ListLabel 9"/>
    <w:qFormat/>
    <w:rPr>
      <w:rFonts w:cs="Courier New"/>
    </w:rPr>
  </w:style>
  <w:style w:type="character" w:styleId="859">
    <w:name w:val="ListLabel 10"/>
    <w:qFormat/>
    <w:rPr>
      <w:rFonts w:cs="Courier New"/>
    </w:rPr>
  </w:style>
  <w:style w:type="character" w:styleId="860">
    <w:name w:val="ListLabel 11"/>
    <w:qFormat/>
    <w:rPr>
      <w:rFonts w:cs="Courier New"/>
    </w:rPr>
  </w:style>
  <w:style w:type="character" w:styleId="861">
    <w:name w:val="ListLabel 12"/>
    <w:qFormat/>
    <w:rPr>
      <w:rFonts w:cs="Courier New"/>
    </w:rPr>
  </w:style>
  <w:style w:type="character" w:styleId="862">
    <w:name w:val="ListLabel 13"/>
    <w:qFormat/>
    <w:rPr>
      <w:rFonts w:cs="Courier New"/>
    </w:rPr>
  </w:style>
  <w:style w:type="paragraph" w:styleId="863">
    <w:name w:val="Heading"/>
    <w:basedOn w:val="845"/>
    <w:next w:val="864"/>
    <w:qFormat/>
    <w:rPr>
      <w:rFonts w:ascii="Liberation Sans" w:hAnsi="Liberation Sans" w:cs="Lohit Devanagari" w:eastAsia="Tahoma"/>
      <w:sz w:val="28"/>
      <w:szCs w:val="28"/>
    </w:rPr>
    <w:pPr>
      <w:keepNext/>
      <w:spacing w:after="120" w:before="240"/>
    </w:pPr>
  </w:style>
  <w:style w:type="paragraph" w:styleId="864">
    <w:name w:val="Body Text"/>
    <w:basedOn w:val="845"/>
    <w:pPr>
      <w:spacing w:lineRule="auto" w:line="288" w:after="140" w:before="0"/>
    </w:pPr>
  </w:style>
  <w:style w:type="paragraph" w:styleId="865">
    <w:name w:val="List"/>
    <w:basedOn w:val="864"/>
    <w:rPr>
      <w:rFonts w:cs="Lohit Devanagari"/>
    </w:rPr>
  </w:style>
  <w:style w:type="paragraph" w:styleId="866">
    <w:name w:val="Caption"/>
    <w:basedOn w:val="84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67">
    <w:name w:val="Index"/>
    <w:basedOn w:val="845"/>
    <w:qFormat/>
    <w:rPr>
      <w:rFonts w:cs="Lohit Devanagari"/>
    </w:rPr>
    <w:pPr>
      <w:suppressLineNumbers/>
    </w:pPr>
  </w:style>
  <w:style w:type="paragraph" w:styleId="868">
    <w:name w:val="Footer"/>
    <w:basedOn w:val="845"/>
    <w:pPr>
      <w:tabs>
        <w:tab w:val="center" w:pos="4536" w:leader="none"/>
        <w:tab w:val="right" w:pos="9072" w:leader="none"/>
      </w:tabs>
    </w:pPr>
  </w:style>
  <w:style w:type="paragraph" w:styleId="869">
    <w:name w:val="Frame Contents"/>
    <w:basedOn w:val="845"/>
    <w:qFormat/>
  </w:style>
  <w:style w:type="paragraph" w:styleId="870">
    <w:name w:val="Table Contents"/>
    <w:basedOn w:val="845"/>
    <w:qFormat/>
  </w:style>
  <w:style w:type="numbering" w:styleId="871" w:default="1">
    <w:name w:val="No List"/>
    <w:qFormat/>
  </w:style>
  <w:style w:type="table" w:styleId="87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Company>Hewlett-Packard Company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dc:language>en-US</dc:language>
  <cp:lastModifiedBy>Anonymous</cp:lastModifiedBy>
  <cp:revision>13</cp:revision>
  <dcterms:created xsi:type="dcterms:W3CDTF">2020-06-12T07:04:00Z</dcterms:created>
  <dcterms:modified xsi:type="dcterms:W3CDTF">2021-07-13T09:32:07Z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