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83E0" w14:textId="2AE1E42B" w:rsidR="000A62D9" w:rsidRPr="000A62D9" w:rsidRDefault="000A62D9" w:rsidP="000A62D9">
      <w:pPr>
        <w:rPr>
          <w:b/>
          <w:bCs/>
        </w:rPr>
      </w:pPr>
      <w:r>
        <w:rPr>
          <w:b/>
          <w:bCs/>
        </w:rPr>
        <w:t>Executive Summary and Profitability Report</w:t>
      </w:r>
    </w:p>
    <w:p w14:paraId="62BDE717" w14:textId="77777777" w:rsidR="000A62D9" w:rsidRPr="000A62D9" w:rsidRDefault="000A62D9" w:rsidP="000A62D9">
      <w:r w:rsidRPr="000A62D9">
        <w:pict w14:anchorId="791727BF">
          <v:rect id="_x0000_i1055" style="width:0;height:1.5pt" o:hralign="center" o:hrstd="t" o:hr="t" fillcolor="#a0a0a0" stroked="f"/>
        </w:pict>
      </w:r>
    </w:p>
    <w:p w14:paraId="2A573878" w14:textId="77777777" w:rsidR="000A62D9" w:rsidRPr="000A62D9" w:rsidRDefault="000A62D9" w:rsidP="000A62D9">
      <w:pPr>
        <w:rPr>
          <w:b/>
          <w:bCs/>
        </w:rPr>
      </w:pPr>
      <w:r w:rsidRPr="000A62D9">
        <w:rPr>
          <w:b/>
          <w:bCs/>
        </w:rPr>
        <w:t>1. Executive Summary</w:t>
      </w:r>
    </w:p>
    <w:p w14:paraId="6F1E28A3" w14:textId="77777777" w:rsidR="000A62D9" w:rsidRPr="000A62D9" w:rsidRDefault="000A62D9" w:rsidP="000A62D9">
      <w:r w:rsidRPr="000A62D9">
        <w:t xml:space="preserve">This report evaluates global sales and operational efficiency using data from the </w:t>
      </w:r>
      <w:r w:rsidRPr="000A62D9">
        <w:rPr>
          <w:b/>
          <w:bCs/>
        </w:rPr>
        <w:t>Executive Summary and Profitability Dashboard</w:t>
      </w:r>
      <w:r w:rsidRPr="000A62D9">
        <w:t>.</w:t>
      </w:r>
    </w:p>
    <w:p w14:paraId="7309D545" w14:textId="77777777" w:rsidR="000A62D9" w:rsidRPr="000A62D9" w:rsidRDefault="000A62D9" w:rsidP="000A62D9">
      <w:r w:rsidRPr="000A62D9">
        <w:t xml:space="preserve">The company generated a </w:t>
      </w:r>
      <w:r w:rsidRPr="000A62D9">
        <w:rPr>
          <w:b/>
          <w:bCs/>
        </w:rPr>
        <w:t>Total Revenue of $645,223</w:t>
      </w:r>
      <w:r w:rsidRPr="000A62D9">
        <w:t xml:space="preserve"> while maintaining solid cost controls, resulting in a </w:t>
      </w:r>
      <w:r w:rsidRPr="000A62D9">
        <w:rPr>
          <w:b/>
          <w:bCs/>
        </w:rPr>
        <w:t>Total Gross Profit of $296,384</w:t>
      </w:r>
      <w:r w:rsidRPr="000A62D9">
        <w:t xml:space="preserve">. This yields a strong overall </w:t>
      </w:r>
      <w:r w:rsidRPr="000A62D9">
        <w:rPr>
          <w:b/>
          <w:bCs/>
        </w:rPr>
        <w:t>Gross Profit Margin of 45.94%</w:t>
      </w:r>
      <w:r w:rsidRPr="000A62D9">
        <w:t xml:space="preserve">. Total operational volume reached </w:t>
      </w:r>
      <w:r w:rsidRPr="000A62D9">
        <w:rPr>
          <w:b/>
          <w:bCs/>
        </w:rPr>
        <w:t>2,707 orders</w:t>
      </w:r>
      <w:r w:rsidRPr="000A62D9">
        <w:t xml:space="preserve">, moving a volume of </w:t>
      </w:r>
      <w:proofErr w:type="gramStart"/>
      <w:r w:rsidRPr="000A62D9">
        <w:rPr>
          <w:b/>
          <w:bCs/>
        </w:rPr>
        <w:t>6,698 unit</w:t>
      </w:r>
      <w:proofErr w:type="gramEnd"/>
      <w:r w:rsidRPr="000A62D9">
        <w:rPr>
          <w:b/>
          <w:bCs/>
        </w:rPr>
        <w:t xml:space="preserve"> </w:t>
      </w:r>
      <w:proofErr w:type="spellStart"/>
      <w:r w:rsidRPr="000A62D9">
        <w:rPr>
          <w:b/>
          <w:bCs/>
        </w:rPr>
        <w:t>solds</w:t>
      </w:r>
      <w:proofErr w:type="spellEnd"/>
      <w:r w:rsidRPr="000A62D9">
        <w:t xml:space="preserve">, while </w:t>
      </w:r>
      <w:r w:rsidRPr="000A62D9">
        <w:rPr>
          <w:b/>
          <w:bCs/>
        </w:rPr>
        <w:t>Total COGS (Cost of Goods Sold)</w:t>
      </w:r>
      <w:r w:rsidRPr="000A62D9">
        <w:t xml:space="preserve"> was held at </w:t>
      </w:r>
      <w:r w:rsidRPr="000A62D9">
        <w:rPr>
          <w:b/>
          <w:bCs/>
        </w:rPr>
        <w:t>$348,839</w:t>
      </w:r>
      <w:r w:rsidRPr="000A62D9">
        <w:t>.</w:t>
      </w:r>
    </w:p>
    <w:p w14:paraId="5B47B32C" w14:textId="77777777" w:rsidR="000A62D9" w:rsidRPr="000A62D9" w:rsidRDefault="000A62D9" w:rsidP="000A62D9">
      <w:r w:rsidRPr="000A62D9">
        <w:pict w14:anchorId="085CC50C">
          <v:rect id="_x0000_i1056" style="width:0;height:1.5pt" o:hralign="center" o:hrstd="t" o:hr="t" fillcolor="#a0a0a0" stroked="f"/>
        </w:pict>
      </w:r>
    </w:p>
    <w:p w14:paraId="68B1899B" w14:textId="77777777" w:rsidR="000A62D9" w:rsidRPr="000A62D9" w:rsidRDefault="000A62D9" w:rsidP="000A62D9">
      <w:pPr>
        <w:rPr>
          <w:b/>
          <w:bCs/>
        </w:rPr>
      </w:pPr>
      <w:r w:rsidRPr="000A62D9">
        <w:rPr>
          <w:b/>
          <w:bCs/>
        </w:rPr>
        <w:t>2. Financial Overview &amp; KPIs</w:t>
      </w:r>
    </w:p>
    <w:p w14:paraId="7DF8EB5A" w14:textId="77777777" w:rsidR="000A62D9" w:rsidRPr="000A62D9" w:rsidRDefault="000A62D9" w:rsidP="000A62D9">
      <w:r w:rsidRPr="000A62D9">
        <w:t>The core baseline metrics indicate strong profitability across product 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026"/>
        <w:gridCol w:w="3414"/>
      </w:tblGrid>
      <w:tr w:rsidR="000A62D9" w:rsidRPr="000A62D9" w14:paraId="188EB94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169D90D" w14:textId="77777777" w:rsidR="000A62D9" w:rsidRPr="000A62D9" w:rsidRDefault="000A62D9" w:rsidP="000A62D9">
            <w:pPr>
              <w:rPr>
                <w:b/>
                <w:bCs/>
              </w:rPr>
            </w:pPr>
            <w:r w:rsidRPr="000A62D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4B89D37" w14:textId="77777777" w:rsidR="000A62D9" w:rsidRPr="000A62D9" w:rsidRDefault="000A62D9" w:rsidP="000A62D9">
            <w:pPr>
              <w:rPr>
                <w:b/>
                <w:bCs/>
              </w:rPr>
            </w:pPr>
            <w:r w:rsidRPr="000A62D9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742A7D" w14:textId="77777777" w:rsidR="000A62D9" w:rsidRPr="000A62D9" w:rsidRDefault="000A62D9" w:rsidP="000A62D9">
            <w:pPr>
              <w:rPr>
                <w:b/>
                <w:bCs/>
              </w:rPr>
            </w:pPr>
            <w:r w:rsidRPr="000A62D9">
              <w:rPr>
                <w:b/>
                <w:bCs/>
              </w:rPr>
              <w:t>Contribution / Efficiency</w:t>
            </w:r>
          </w:p>
        </w:tc>
      </w:tr>
      <w:tr w:rsidR="000A62D9" w:rsidRPr="000A62D9" w14:paraId="523C465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666B7A7" w14:textId="77777777" w:rsidR="000A62D9" w:rsidRPr="000A62D9" w:rsidRDefault="000A62D9" w:rsidP="000A62D9">
            <w:r w:rsidRPr="000A62D9">
              <w:rPr>
                <w:b/>
                <w:bCs/>
              </w:rPr>
              <w:t>Total Revenue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A059DC" w14:textId="77777777" w:rsidR="000A62D9" w:rsidRPr="000A62D9" w:rsidRDefault="000A62D9" w:rsidP="000A62D9">
            <w:r w:rsidRPr="000A62D9">
              <w:t>$645,223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A41EBF" w14:textId="77777777" w:rsidR="000A62D9" w:rsidRPr="000A62D9" w:rsidRDefault="000A62D9" w:rsidP="000A62D9">
            <w:r w:rsidRPr="000A62D9">
              <w:t>100% baseline performance</w:t>
            </w:r>
          </w:p>
        </w:tc>
      </w:tr>
      <w:tr w:rsidR="000A62D9" w:rsidRPr="000A62D9" w14:paraId="6999F46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63B0AD" w14:textId="77777777" w:rsidR="000A62D9" w:rsidRPr="000A62D9" w:rsidRDefault="000A62D9" w:rsidP="000A62D9">
            <w:r w:rsidRPr="000A62D9">
              <w:rPr>
                <w:b/>
                <w:bCs/>
              </w:rPr>
              <w:t>Total COGS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7DCFB7" w14:textId="77777777" w:rsidR="000A62D9" w:rsidRPr="000A62D9" w:rsidRDefault="000A62D9" w:rsidP="000A62D9">
            <w:r w:rsidRPr="000A62D9">
              <w:t>$348,839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96647E" w14:textId="77777777" w:rsidR="000A62D9" w:rsidRPr="000A62D9" w:rsidRDefault="000A62D9" w:rsidP="000A62D9">
            <w:r w:rsidRPr="000A62D9">
              <w:t>54.06% of revenue consumption</w:t>
            </w:r>
          </w:p>
        </w:tc>
      </w:tr>
      <w:tr w:rsidR="000A62D9" w:rsidRPr="000A62D9" w14:paraId="6771D5E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425AA7" w14:textId="77777777" w:rsidR="000A62D9" w:rsidRPr="000A62D9" w:rsidRDefault="000A62D9" w:rsidP="000A62D9">
            <w:r w:rsidRPr="000A62D9">
              <w:rPr>
                <w:b/>
                <w:bCs/>
              </w:rPr>
              <w:t>Total Gross Profit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9C91D5" w14:textId="77777777" w:rsidR="000A62D9" w:rsidRPr="000A62D9" w:rsidRDefault="000A62D9" w:rsidP="000A62D9">
            <w:r w:rsidRPr="000A62D9">
              <w:t>$296,384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937810" w14:textId="77777777" w:rsidR="000A62D9" w:rsidRPr="000A62D9" w:rsidRDefault="000A62D9" w:rsidP="000A62D9">
            <w:r w:rsidRPr="000A62D9">
              <w:t>45.94% retention rate</w:t>
            </w:r>
          </w:p>
        </w:tc>
      </w:tr>
    </w:tbl>
    <w:p w14:paraId="1528D651" w14:textId="77777777" w:rsidR="000A62D9" w:rsidRPr="000A62D9" w:rsidRDefault="000A62D9" w:rsidP="000A62D9">
      <w:pPr>
        <w:numPr>
          <w:ilvl w:val="0"/>
          <w:numId w:val="1"/>
        </w:numPr>
      </w:pPr>
      <w:r w:rsidRPr="000A62D9">
        <w:rPr>
          <w:b/>
          <w:bCs/>
        </w:rPr>
        <w:t>Volume Insights:</w:t>
      </w:r>
      <w:r w:rsidRPr="000A62D9">
        <w:t xml:space="preserve"> The average revenue per order stands at approximately </w:t>
      </w:r>
      <w:r w:rsidRPr="000A62D9">
        <w:rPr>
          <w:b/>
          <w:bCs/>
        </w:rPr>
        <w:t>$238.35</w:t>
      </w:r>
      <w:r w:rsidRPr="000A62D9">
        <w:t xml:space="preserve">, with an average volume of </w:t>
      </w:r>
      <w:r w:rsidRPr="000A62D9">
        <w:rPr>
          <w:b/>
          <w:bCs/>
        </w:rPr>
        <w:t>2.47 units per order</w:t>
      </w:r>
      <w:r w:rsidRPr="000A62D9">
        <w:t>.</w:t>
      </w:r>
    </w:p>
    <w:p w14:paraId="5AB2A682" w14:textId="77777777" w:rsidR="000A62D9" w:rsidRPr="000A62D9" w:rsidRDefault="000A62D9" w:rsidP="000A62D9">
      <w:r w:rsidRPr="000A62D9">
        <w:pict w14:anchorId="6A001E2C">
          <v:rect id="_x0000_i1057" style="width:0;height:1.5pt" o:hralign="center" o:hrstd="t" o:hr="t" fillcolor="#a0a0a0" stroked="f"/>
        </w:pict>
      </w:r>
    </w:p>
    <w:p w14:paraId="12AAB534" w14:textId="77777777" w:rsidR="000A62D9" w:rsidRPr="000A62D9" w:rsidRDefault="000A62D9" w:rsidP="000A62D9">
      <w:pPr>
        <w:rPr>
          <w:b/>
          <w:bCs/>
        </w:rPr>
      </w:pPr>
      <w:r w:rsidRPr="000A62D9">
        <w:rPr>
          <w:b/>
          <w:bCs/>
        </w:rPr>
        <w:t>3. Performance Breakdown &amp; Analysis</w:t>
      </w:r>
    </w:p>
    <w:p w14:paraId="39F6358D" w14:textId="77777777" w:rsidR="000A62D9" w:rsidRPr="000A62D9" w:rsidRDefault="000A62D9" w:rsidP="000A62D9">
      <w:pPr>
        <w:rPr>
          <w:b/>
          <w:bCs/>
        </w:rPr>
      </w:pPr>
      <w:r w:rsidRPr="000A62D9">
        <w:rPr>
          <w:rFonts w:ascii="Segoe UI Emoji" w:hAnsi="Segoe UI Emoji" w:cs="Segoe UI Emoji"/>
          <w:b/>
          <w:bCs/>
        </w:rPr>
        <w:t>📈</w:t>
      </w:r>
      <w:r w:rsidRPr="000A62D9">
        <w:rPr>
          <w:b/>
          <w:bCs/>
        </w:rPr>
        <w:t xml:space="preserve"> Sales Trends (Monthly Cycles)</w:t>
      </w:r>
    </w:p>
    <w:p w14:paraId="35713BC3" w14:textId="77777777" w:rsidR="000A62D9" w:rsidRPr="000A62D9" w:rsidRDefault="000A62D9" w:rsidP="000A62D9">
      <w:r w:rsidRPr="000A62D9">
        <w:t>Revenue and profitability follow parallel tracking paths throughout the fiscal year, pointing to a highly stable cost structure:</w:t>
      </w:r>
    </w:p>
    <w:p w14:paraId="540E8400" w14:textId="77777777" w:rsidR="000A62D9" w:rsidRPr="000A62D9" w:rsidRDefault="000A62D9" w:rsidP="000A62D9">
      <w:pPr>
        <w:numPr>
          <w:ilvl w:val="0"/>
          <w:numId w:val="2"/>
        </w:numPr>
      </w:pPr>
      <w:r w:rsidRPr="000A62D9">
        <w:rPr>
          <w:b/>
          <w:bCs/>
        </w:rPr>
        <w:t>Peak Performance:</w:t>
      </w:r>
      <w:r w:rsidRPr="000A62D9">
        <w:t xml:space="preserve"> Sales peak dramatically in </w:t>
      </w:r>
      <w:r w:rsidRPr="000A62D9">
        <w:rPr>
          <w:b/>
          <w:bCs/>
        </w:rPr>
        <w:t>June ($70K)</w:t>
      </w:r>
      <w:r w:rsidRPr="000A62D9">
        <w:t xml:space="preserve">, sustained strongly into </w:t>
      </w:r>
      <w:r w:rsidRPr="000A62D9">
        <w:rPr>
          <w:b/>
          <w:bCs/>
        </w:rPr>
        <w:t>July ($66K)</w:t>
      </w:r>
      <w:r w:rsidRPr="000A62D9">
        <w:t xml:space="preserve">. A secondary peak occurs in </w:t>
      </w:r>
      <w:r w:rsidRPr="000A62D9">
        <w:rPr>
          <w:b/>
          <w:bCs/>
        </w:rPr>
        <w:t>November ($66K)</w:t>
      </w:r>
      <w:r w:rsidRPr="000A62D9">
        <w:t>.</w:t>
      </w:r>
    </w:p>
    <w:p w14:paraId="4BEADDE0" w14:textId="77777777" w:rsidR="000A62D9" w:rsidRPr="000A62D9" w:rsidRDefault="000A62D9" w:rsidP="000A62D9">
      <w:pPr>
        <w:numPr>
          <w:ilvl w:val="0"/>
          <w:numId w:val="2"/>
        </w:numPr>
      </w:pPr>
      <w:r w:rsidRPr="000A62D9">
        <w:rPr>
          <w:b/>
          <w:bCs/>
        </w:rPr>
        <w:t>Low Points:</w:t>
      </w:r>
      <w:r w:rsidRPr="000A62D9">
        <w:t xml:space="preserve"> Performance bottoms out during the first quarter, with </w:t>
      </w:r>
      <w:r w:rsidRPr="000A62D9">
        <w:rPr>
          <w:b/>
          <w:bCs/>
        </w:rPr>
        <w:t>February hitting the annual low</w:t>
      </w:r>
      <w:r w:rsidRPr="000A62D9">
        <w:t xml:space="preserve"> at </w:t>
      </w:r>
      <w:r w:rsidRPr="000A62D9">
        <w:rPr>
          <w:b/>
          <w:bCs/>
        </w:rPr>
        <w:t>$36K revenue</w:t>
      </w:r>
      <w:r w:rsidRPr="000A62D9">
        <w:t xml:space="preserve"> and </w:t>
      </w:r>
      <w:r w:rsidRPr="000A62D9">
        <w:rPr>
          <w:b/>
          <w:bCs/>
        </w:rPr>
        <w:t>$17K gross profit</w:t>
      </w:r>
      <w:r w:rsidRPr="000A62D9">
        <w:t>.</w:t>
      </w:r>
    </w:p>
    <w:p w14:paraId="0C4EA71B" w14:textId="77777777" w:rsidR="000A62D9" w:rsidRPr="000A62D9" w:rsidRDefault="000A62D9" w:rsidP="000A62D9">
      <w:pPr>
        <w:rPr>
          <w:b/>
          <w:bCs/>
        </w:rPr>
      </w:pPr>
      <w:r w:rsidRPr="000A62D9">
        <w:rPr>
          <w:rFonts w:ascii="Segoe UI Emoji" w:hAnsi="Segoe UI Emoji" w:cs="Segoe UI Emoji"/>
          <w:b/>
          <w:bCs/>
        </w:rPr>
        <w:t>🌍</w:t>
      </w:r>
      <w:r w:rsidRPr="000A62D9">
        <w:rPr>
          <w:b/>
          <w:bCs/>
        </w:rPr>
        <w:t xml:space="preserve"> Geographic &amp; Regional Performance</w:t>
      </w:r>
    </w:p>
    <w:p w14:paraId="406D6A49" w14:textId="77777777" w:rsidR="000A62D9" w:rsidRPr="000A62D9" w:rsidRDefault="000A62D9" w:rsidP="000A62D9">
      <w:r w:rsidRPr="000A62D9">
        <w:t>Revenue generation is centered in Western and Central Europe:</w:t>
      </w:r>
    </w:p>
    <w:p w14:paraId="40934431" w14:textId="77777777" w:rsidR="000A62D9" w:rsidRPr="000A62D9" w:rsidRDefault="000A62D9" w:rsidP="000A62D9">
      <w:pPr>
        <w:numPr>
          <w:ilvl w:val="0"/>
          <w:numId w:val="3"/>
        </w:numPr>
      </w:pPr>
      <w:r w:rsidRPr="000A62D9">
        <w:rPr>
          <w:b/>
          <w:bCs/>
        </w:rPr>
        <w:lastRenderedPageBreak/>
        <w:t>Top 5 Countries:</w:t>
      </w:r>
      <w:r w:rsidRPr="000A62D9">
        <w:t xml:space="preserve"> The </w:t>
      </w:r>
      <w:r w:rsidRPr="000A62D9">
        <w:rPr>
          <w:b/>
          <w:bCs/>
        </w:rPr>
        <w:t>United Kingdom leads with $74K</w:t>
      </w:r>
      <w:r w:rsidRPr="000A62D9">
        <w:t xml:space="preserve">, followed closely by </w:t>
      </w:r>
      <w:r w:rsidRPr="000A62D9">
        <w:rPr>
          <w:b/>
          <w:bCs/>
        </w:rPr>
        <w:t>Germany ($70K)</w:t>
      </w:r>
      <w:r w:rsidRPr="000A62D9">
        <w:t>. France ($55K), Italy ($50K), and Spain ($47K) complete the top tier.</w:t>
      </w:r>
    </w:p>
    <w:p w14:paraId="6CABE530" w14:textId="77777777" w:rsidR="000A62D9" w:rsidRPr="000A62D9" w:rsidRDefault="000A62D9" w:rsidP="000A62D9">
      <w:pPr>
        <w:numPr>
          <w:ilvl w:val="0"/>
          <w:numId w:val="3"/>
        </w:numPr>
      </w:pPr>
      <w:r w:rsidRPr="000A62D9">
        <w:rPr>
          <w:b/>
          <w:bCs/>
        </w:rPr>
        <w:t>Regional Market Share:</w:t>
      </w:r>
      <w:r w:rsidRPr="000A62D9">
        <w:t xml:space="preserve"> </w:t>
      </w:r>
      <w:r w:rsidRPr="000A62D9">
        <w:rPr>
          <w:b/>
          <w:bCs/>
        </w:rPr>
        <w:t>Western Europe</w:t>
      </w:r>
      <w:r w:rsidRPr="000A62D9">
        <w:t xml:space="preserve"> and </w:t>
      </w:r>
      <w:r w:rsidRPr="000A62D9">
        <w:rPr>
          <w:b/>
          <w:bCs/>
        </w:rPr>
        <w:t>Central Europe</w:t>
      </w:r>
      <w:r w:rsidRPr="000A62D9">
        <w:t xml:space="preserve"> control the market, accounting for </w:t>
      </w:r>
      <w:r w:rsidRPr="000A62D9">
        <w:rPr>
          <w:b/>
          <w:bCs/>
        </w:rPr>
        <w:t>31%</w:t>
      </w:r>
      <w:r w:rsidRPr="000A62D9">
        <w:t xml:space="preserve"> and </w:t>
      </w:r>
      <w:r w:rsidRPr="000A62D9">
        <w:rPr>
          <w:b/>
          <w:bCs/>
        </w:rPr>
        <w:t>30%</w:t>
      </w:r>
      <w:r w:rsidRPr="000A62D9">
        <w:t xml:space="preserve"> of total revenue respectively. </w:t>
      </w:r>
      <w:r w:rsidRPr="000A62D9">
        <w:rPr>
          <w:b/>
          <w:bCs/>
        </w:rPr>
        <w:t>Northern Europe (20%)</w:t>
      </w:r>
      <w:r w:rsidRPr="000A62D9">
        <w:t xml:space="preserve"> and </w:t>
      </w:r>
      <w:r w:rsidRPr="000A62D9">
        <w:rPr>
          <w:b/>
          <w:bCs/>
        </w:rPr>
        <w:t>Southern Europe (19%)</w:t>
      </w:r>
      <w:r w:rsidRPr="000A62D9">
        <w:t xml:space="preserve"> form the secondary tier.</w:t>
      </w:r>
    </w:p>
    <w:p w14:paraId="19845707" w14:textId="77777777" w:rsidR="000A62D9" w:rsidRPr="000A62D9" w:rsidRDefault="000A62D9" w:rsidP="000A62D9">
      <w:pPr>
        <w:rPr>
          <w:b/>
          <w:bCs/>
        </w:rPr>
      </w:pPr>
      <w:r w:rsidRPr="000A62D9">
        <w:rPr>
          <w:rFonts w:ascii="Segoe UI Emoji" w:hAnsi="Segoe UI Emoji" w:cs="Segoe UI Emoji"/>
          <w:b/>
          <w:bCs/>
        </w:rPr>
        <w:t>🛒</w:t>
      </w:r>
      <w:r w:rsidRPr="000A62D9">
        <w:rPr>
          <w:b/>
          <w:bCs/>
        </w:rPr>
        <w:t xml:space="preserve"> Revenue Share by Sales Channels</w:t>
      </w:r>
    </w:p>
    <w:p w14:paraId="050B734D" w14:textId="77777777" w:rsidR="000A62D9" w:rsidRPr="000A62D9" w:rsidRDefault="000A62D9" w:rsidP="000A62D9">
      <w:r w:rsidRPr="000A62D9">
        <w:t>Distribution channels show uneven performance, with one clear leader:</w:t>
      </w:r>
    </w:p>
    <w:p w14:paraId="2352F697" w14:textId="77777777" w:rsidR="000A62D9" w:rsidRPr="000A62D9" w:rsidRDefault="000A62D9" w:rsidP="000A62D9">
      <w:pPr>
        <w:numPr>
          <w:ilvl w:val="0"/>
          <w:numId w:val="4"/>
        </w:numPr>
      </w:pPr>
      <w:r w:rsidRPr="000A62D9">
        <w:rPr>
          <w:b/>
          <w:bCs/>
        </w:rPr>
        <w:t>Online Store:</w:t>
      </w:r>
      <w:r w:rsidRPr="000A62D9">
        <w:t xml:space="preserve"> The primary driver, generating </w:t>
      </w:r>
      <w:r w:rsidRPr="000A62D9">
        <w:rPr>
          <w:b/>
          <w:bCs/>
        </w:rPr>
        <w:t>40%</w:t>
      </w:r>
      <w:r w:rsidRPr="000A62D9">
        <w:t xml:space="preserve"> of total revenue.</w:t>
      </w:r>
    </w:p>
    <w:p w14:paraId="40CAB960" w14:textId="77777777" w:rsidR="000A62D9" w:rsidRPr="000A62D9" w:rsidRDefault="000A62D9" w:rsidP="000A62D9">
      <w:pPr>
        <w:numPr>
          <w:ilvl w:val="0"/>
          <w:numId w:val="4"/>
        </w:numPr>
      </w:pPr>
      <w:r w:rsidRPr="000A62D9">
        <w:rPr>
          <w:b/>
          <w:bCs/>
        </w:rPr>
        <w:t>Corporate:</w:t>
      </w:r>
      <w:r w:rsidRPr="000A62D9">
        <w:t xml:space="preserve"> Holds a strong corporate footprint at </w:t>
      </w:r>
      <w:r w:rsidRPr="000A62D9">
        <w:rPr>
          <w:b/>
          <w:bCs/>
        </w:rPr>
        <w:t>28%</w:t>
      </w:r>
      <w:r w:rsidRPr="000A62D9">
        <w:t>.</w:t>
      </w:r>
    </w:p>
    <w:p w14:paraId="3C366C65" w14:textId="77777777" w:rsidR="000A62D9" w:rsidRPr="000A62D9" w:rsidRDefault="000A62D9" w:rsidP="000A62D9">
      <w:pPr>
        <w:numPr>
          <w:ilvl w:val="0"/>
          <w:numId w:val="4"/>
        </w:numPr>
      </w:pPr>
      <w:r w:rsidRPr="000A62D9">
        <w:rPr>
          <w:b/>
          <w:bCs/>
        </w:rPr>
        <w:t>Retail Partners:</w:t>
      </w:r>
      <w:r w:rsidRPr="000A62D9">
        <w:t xml:space="preserve"> Accounts for </w:t>
      </w:r>
      <w:proofErr w:type="gramStart"/>
      <w:r w:rsidRPr="000A62D9">
        <w:t>a</w:t>
      </w:r>
      <w:proofErr w:type="gramEnd"/>
      <w:r w:rsidRPr="000A62D9">
        <w:t xml:space="preserve"> </w:t>
      </w:r>
      <w:r w:rsidRPr="000A62D9">
        <w:rPr>
          <w:b/>
          <w:bCs/>
        </w:rPr>
        <w:t>18%</w:t>
      </w:r>
      <w:r w:rsidRPr="000A62D9">
        <w:t xml:space="preserve"> market share.</w:t>
      </w:r>
    </w:p>
    <w:p w14:paraId="0EE93456" w14:textId="77777777" w:rsidR="000A62D9" w:rsidRPr="000A62D9" w:rsidRDefault="000A62D9" w:rsidP="000A62D9">
      <w:pPr>
        <w:numPr>
          <w:ilvl w:val="0"/>
          <w:numId w:val="4"/>
        </w:numPr>
      </w:pPr>
      <w:r w:rsidRPr="000A62D9">
        <w:rPr>
          <w:b/>
          <w:bCs/>
        </w:rPr>
        <w:t>Marketplace:</w:t>
      </w:r>
      <w:r w:rsidRPr="000A62D9">
        <w:t xml:space="preserve"> The smallest channel, representing </w:t>
      </w:r>
      <w:r w:rsidRPr="000A62D9">
        <w:rPr>
          <w:b/>
          <w:bCs/>
        </w:rPr>
        <w:t>14%</w:t>
      </w:r>
      <w:r w:rsidRPr="000A62D9">
        <w:t xml:space="preserve"> of total revenue.</w:t>
      </w:r>
    </w:p>
    <w:p w14:paraId="23899253" w14:textId="77777777" w:rsidR="000A62D9" w:rsidRPr="000A62D9" w:rsidRDefault="000A62D9" w:rsidP="000A62D9">
      <w:r w:rsidRPr="000A62D9">
        <w:pict w14:anchorId="21925C65">
          <v:rect id="_x0000_i1058" style="width:0;height:1.5pt" o:hralign="center" o:hrstd="t" o:hr="t" fillcolor="#a0a0a0" stroked="f"/>
        </w:pict>
      </w:r>
    </w:p>
    <w:p w14:paraId="6FBF2DC6" w14:textId="77777777" w:rsidR="000A62D9" w:rsidRPr="000A62D9" w:rsidRDefault="000A62D9" w:rsidP="000A62D9">
      <w:pPr>
        <w:rPr>
          <w:b/>
          <w:bCs/>
        </w:rPr>
      </w:pPr>
      <w:r w:rsidRPr="000A62D9">
        <w:rPr>
          <w:b/>
          <w:bCs/>
        </w:rPr>
        <w:t>4. Key Recommendations</w:t>
      </w:r>
    </w:p>
    <w:p w14:paraId="144C0AE8" w14:textId="77777777" w:rsidR="000A62D9" w:rsidRPr="000A62D9" w:rsidRDefault="000A62D9" w:rsidP="000A62D9">
      <w:pPr>
        <w:numPr>
          <w:ilvl w:val="0"/>
          <w:numId w:val="5"/>
        </w:numPr>
      </w:pPr>
      <w:r w:rsidRPr="000A62D9">
        <w:rPr>
          <w:b/>
          <w:bCs/>
        </w:rPr>
        <w:t>Capitalize on Q2/Q4 Demand Cycles:</w:t>
      </w:r>
      <w:r w:rsidRPr="000A62D9">
        <w:t xml:space="preserve"> Scale up marketing budgets and increase inventory allocation ahead of the high-volume surges seen in June and November.</w:t>
      </w:r>
    </w:p>
    <w:p w14:paraId="444B1111" w14:textId="77777777" w:rsidR="000A62D9" w:rsidRPr="000A62D9" w:rsidRDefault="000A62D9" w:rsidP="000A62D9">
      <w:pPr>
        <w:numPr>
          <w:ilvl w:val="0"/>
          <w:numId w:val="5"/>
        </w:numPr>
      </w:pPr>
      <w:r w:rsidRPr="000A62D9">
        <w:rPr>
          <w:b/>
          <w:bCs/>
        </w:rPr>
        <w:t>Optimize Low-Performing Channels:</w:t>
      </w:r>
      <w:r w:rsidRPr="000A62D9">
        <w:t xml:space="preserve"> Investigate the lower performance of the </w:t>
      </w:r>
      <w:r w:rsidRPr="000A62D9">
        <w:rPr>
          <w:b/>
          <w:bCs/>
        </w:rPr>
        <w:t>Marketplace channel (14%)</w:t>
      </w:r>
      <w:r w:rsidRPr="000A62D9">
        <w:t xml:space="preserve"> to determine whether it requires pricing adjustments or better product positioning.</w:t>
      </w:r>
    </w:p>
    <w:p w14:paraId="0EDA8827" w14:textId="77777777" w:rsidR="000A62D9" w:rsidRPr="000A62D9" w:rsidRDefault="000A62D9" w:rsidP="000A62D9">
      <w:pPr>
        <w:numPr>
          <w:ilvl w:val="0"/>
          <w:numId w:val="5"/>
        </w:numPr>
      </w:pPr>
      <w:r w:rsidRPr="000A62D9">
        <w:rPr>
          <w:b/>
          <w:bCs/>
        </w:rPr>
        <w:t>Address Q1 Slump:</w:t>
      </w:r>
      <w:r w:rsidRPr="000A62D9">
        <w:t xml:space="preserve"> Introduce seasonal promotions or targeted campaigns in </w:t>
      </w:r>
      <w:r w:rsidRPr="000A62D9">
        <w:rPr>
          <w:b/>
          <w:bCs/>
        </w:rPr>
        <w:t>January and February</w:t>
      </w:r>
      <w:r w:rsidRPr="000A62D9">
        <w:t xml:space="preserve"> to smooth out the steep drop in early-year revenue.</w:t>
      </w:r>
    </w:p>
    <w:sectPr w:rsidR="000A62D9" w:rsidRPr="000A62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2B46"/>
    <w:multiLevelType w:val="multilevel"/>
    <w:tmpl w:val="AFAC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B5129"/>
    <w:multiLevelType w:val="multilevel"/>
    <w:tmpl w:val="CF2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31B83"/>
    <w:multiLevelType w:val="multilevel"/>
    <w:tmpl w:val="313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77C4A"/>
    <w:multiLevelType w:val="multilevel"/>
    <w:tmpl w:val="DF2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577EE"/>
    <w:multiLevelType w:val="multilevel"/>
    <w:tmpl w:val="72F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A147B"/>
    <w:multiLevelType w:val="multilevel"/>
    <w:tmpl w:val="C7E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351168">
    <w:abstractNumId w:val="5"/>
  </w:num>
  <w:num w:numId="2" w16cid:durableId="821196730">
    <w:abstractNumId w:val="1"/>
  </w:num>
  <w:num w:numId="3" w16cid:durableId="602146934">
    <w:abstractNumId w:val="4"/>
  </w:num>
  <w:num w:numId="4" w16cid:durableId="985596541">
    <w:abstractNumId w:val="2"/>
  </w:num>
  <w:num w:numId="5" w16cid:durableId="945498694">
    <w:abstractNumId w:val="0"/>
  </w:num>
  <w:num w:numId="6" w16cid:durableId="1553078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D9"/>
    <w:rsid w:val="000A62D9"/>
    <w:rsid w:val="0060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4759"/>
  <w15:chartTrackingRefBased/>
  <w15:docId w15:val="{14115D6C-1B25-4B0A-95BA-41C8A66B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D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D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D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62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62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Badgujar</dc:creator>
  <cp:keywords/>
  <dc:description/>
  <cp:lastModifiedBy>Tejal Badgujar</cp:lastModifiedBy>
  <cp:revision>2</cp:revision>
  <dcterms:created xsi:type="dcterms:W3CDTF">2026-10-16T12:28:00Z</dcterms:created>
  <dcterms:modified xsi:type="dcterms:W3CDTF">2026-10-16T12:30:00Z</dcterms:modified>
</cp:coreProperties>
</file>