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left"/>
      </w:pPr>
      <w:r>
        <w:rPr>
          <w:b w:val="0"/>
          <w:i w:val="0"/>
          <w:color w:val="1A1A2E"/>
          <w:sz w:val="22"/>
        </w:rPr>
      </w:r>
    </w:p>
    <w:p>
      <w:pPr>
        <w:jc w:val="center"/>
      </w:pPr>
      <w:r>
        <w:rPr>
          <w:b/>
          <w:color w:val="0D1B2A"/>
          <w:sz w:val="72"/>
        </w:rPr>
        <w:t>Smart BI Agent</w:t>
      </w:r>
    </w:p>
    <w:p>
      <w:pPr>
        <w:jc w:val="center"/>
      </w:pPr>
      <w:r>
        <w:rPr>
          <w:color w:val="29B5E8"/>
          <w:sz w:val="32"/>
        </w:rPr>
        <w:t>Intelligent Analytics Platform for Retail &amp; Manufacturing</w:t>
      </w:r>
    </w:p>
    <w:p>
      <w:pPr>
        <w:spacing w:before="160" w:after="120"/>
        <w:jc w:val="left"/>
      </w:pPr>
      <w:r>
        <w:rPr>
          <w:b w:val="0"/>
          <w:i w:val="0"/>
          <w:color w:val="1A1A2E"/>
          <w:sz w:val="22"/>
        </w:rPr>
      </w:r>
    </w:p>
    <w:p>
      <w:pPr>
        <w:jc w:val="center"/>
      </w:pPr>
      <w:r>
        <w:rPr>
          <w:color w:val="555555"/>
          <w:sz w:val="22"/>
        </w:rPr>
        <w:t>Prepared by: Mayuresh Prakash Badgujar  |  May 2026  |  Version 1.0</w:t>
      </w:r>
    </w:p>
    <w:p>
      <w:pPr>
        <w:spacing w:before="80" w:after="120"/>
        <w:jc w:val="left"/>
      </w:pPr>
      <w:r>
        <w:rPr>
          <w:b w:val="0"/>
          <w:i w:val="0"/>
          <w:color w:val="1A1A2E"/>
          <w:sz w:val="22"/>
        </w:rPr>
      </w:r>
    </w:p>
    <w:p>
      <w:pPr>
        <w:jc w:val="center"/>
      </w:pPr>
      <w:r>
        <w:rPr>
          <w:i/>
          <w:color w:val="00C4B4"/>
          <w:sz w:val="22"/>
        </w:rPr>
        <w:t>Powered by Snowflake Cortex AI</w:t>
      </w:r>
    </w:p>
    <w:p>
      <w:r>
        <w:br w:type="page"/>
      </w:r>
    </w:p>
    <w:p>
      <w:pPr>
        <w:spacing w:before="280" w:after="120"/>
        <w:pBdr>
          <w:bottom w:val="single" w:sz="6" w:space="1" w:color="29B5E8"/>
        </w:pBdr>
      </w:pPr>
      <w:r>
        <w:rPr>
          <w:b/>
          <w:color w:val="0D1B2A"/>
          <w:sz w:val="44"/>
        </w:rPr>
        <w:t>1. Executive Summary</w:t>
      </w:r>
    </w:p>
    <w:p>
      <w:pPr>
        <w:spacing w:before="0" w:after="160"/>
        <w:jc w:val="left"/>
      </w:pPr>
      <w:r>
        <w:rPr>
          <w:b w:val="0"/>
          <w:i w:val="0"/>
          <w:color w:val="1A1A2E"/>
          <w:sz w:val="22"/>
        </w:rPr>
        <w:t>Organizations today sit on mountains of data but struggle to extract timely, actionable insights. Analysts are bottlenecked. Business users wait days for answers. Decisions are made on instinct rather than evidence.</w:t>
      </w:r>
    </w:p>
    <w:p>
      <w:pPr>
        <w:spacing w:before="0" w:after="160"/>
        <w:jc w:val="left"/>
      </w:pPr>
      <w:r>
        <w:rPr>
          <w:b w:val="0"/>
          <w:i w:val="0"/>
          <w:color w:val="1A1A2E"/>
          <w:sz w:val="22"/>
        </w:rPr>
        <w:t>Smart BI Agent solves this by combining 10+ years of BI &amp; Analytics expertise with Snowflake's cutting-edge AI capabilities — delivering a platform where any business user can ask questions in plain English and get instant, accurate, data-driven answers.</w:t>
      </w:r>
    </w:p>
    <w:p>
      <w:pPr>
        <w:spacing w:before="280" w:after="120"/>
        <w:pBdr>
          <w:bottom w:val="single" w:sz="6" w:space="1" w:color="29B5E8"/>
        </w:pBdr>
      </w:pPr>
      <w:r>
        <w:rPr>
          <w:b/>
          <w:color w:val="0D1B2A"/>
          <w:sz w:val="44"/>
        </w:rPr>
        <w:t>2. The Problem</w:t>
      </w:r>
    </w:p>
    <w:tbl>
      <w:tblPr>
        <w:tblStyle w:val="TableGrid"/>
        <w:tblW w:type="auto" w:w="0"/>
        <w:jc w:val="left"/>
        <w:tblLook w:firstColumn="1" w:firstRow="1" w:lastColumn="0" w:lastRow="0" w:noHBand="0" w:noVBand="1" w:val="04A0"/>
      </w:tblPr>
      <w:tblGrid>
        <w:gridCol w:w="4873"/>
        <w:gridCol w:w="4873"/>
      </w:tblGrid>
      <w:tr>
        <w:tc>
          <w:tcPr>
            <w:tcW w:type="dxa" w:w="3600"/>
            <w:shd w:val="clear" w:color="auto" w:fill="0D1B2A"/>
          </w:tcPr>
          <w:p>
            <w:r>
              <w:rPr>
                <w:b/>
                <w:color w:val="FFFFFF"/>
                <w:sz w:val="20"/>
              </w:rPr>
              <w:t>Pain Point</w:t>
            </w:r>
          </w:p>
        </w:tc>
        <w:tc>
          <w:tcPr>
            <w:tcW w:type="dxa" w:w="6480"/>
            <w:shd w:val="clear" w:color="auto" w:fill="0D1B2A"/>
          </w:tcPr>
          <w:p>
            <w:r>
              <w:rPr>
                <w:b/>
                <w:color w:val="FFFFFF"/>
                <w:sz w:val="20"/>
              </w:rPr>
              <w:t>Business Impact</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20"/>
              </w:rPr>
              <w:t>No Self-Service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r>
              <w:rPr>
                <w:sz w:val="20"/>
              </w:rPr>
              <w:t>Only analysts can query data — business waits days for answers</w:t>
            </w:r>
          </w:p>
        </w:tc>
      </w:tr>
      <w:tr>
        <w:tc>
          <w:tcPr>
            <w:tcW w:type="dxa" w:w="3600"/>
            <w:shd w:val="clear" w:color="auto" w:fill="F2F4F8"/>
            <w:tcBorders>
              <w:top w:val="single" w:sz="4" w:space="0" w:color="CCCCCC"/>
              <w:left w:val="single" w:sz="4" w:space="0" w:color="CCCCCC"/>
              <w:bottom w:val="single" w:sz="4" w:space="0" w:color="CCCCCC"/>
              <w:right w:val="single" w:sz="4" w:space="0" w:color="CCCCCC"/>
            </w:tcBorders>
          </w:tcPr>
          <w:p>
            <w:r>
              <w:rPr>
                <w:sz w:val="20"/>
              </w:rPr>
              <w:t>Buried Insights</w:t>
            </w:r>
          </w:p>
        </w:tc>
        <w:tc>
          <w:tcPr>
            <w:tcW w:type="dxa" w:w="6480"/>
            <w:shd w:val="clear" w:color="auto" w:fill="F2F4F8"/>
            <w:tcBorders>
              <w:top w:val="single" w:sz="4" w:space="0" w:color="CCCCCC"/>
              <w:left w:val="single" w:sz="4" w:space="0" w:color="CCCCCC"/>
              <w:bottom w:val="single" w:sz="4" w:space="0" w:color="CCCCCC"/>
              <w:right w:val="single" w:sz="4" w:space="0" w:color="CCCCCC"/>
            </w:tcBorders>
          </w:tcPr>
          <w:p>
            <w:r>
              <w:rPr>
                <w:sz w:val="20"/>
              </w:rPr>
              <w:t>Reports exist but no one can find or search through them</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20"/>
              </w:rPr>
              <w:t>No Predictions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r>
              <w:rPr>
                <w:sz w:val="20"/>
              </w:rPr>
              <w:t>Teams react to problems instead of preventing them</w:t>
            </w:r>
          </w:p>
        </w:tc>
      </w:tr>
      <w:tr>
        <w:tc>
          <w:tcPr>
            <w:tcW w:type="dxa" w:w="3600"/>
            <w:shd w:val="clear" w:color="auto" w:fill="F2F4F8"/>
            <w:tcBorders>
              <w:top w:val="single" w:sz="4" w:space="0" w:color="CCCCCC"/>
              <w:left w:val="single" w:sz="4" w:space="0" w:color="CCCCCC"/>
              <w:bottom w:val="single" w:sz="4" w:space="0" w:color="CCCCCC"/>
              <w:right w:val="single" w:sz="4" w:space="0" w:color="CCCCCC"/>
            </w:tcBorders>
          </w:tcPr>
          <w:p>
            <w:r>
              <w:rPr>
                <w:sz w:val="20"/>
              </w:rPr>
              <w:t>Fragmented Tools</w:t>
            </w:r>
          </w:p>
        </w:tc>
        <w:tc>
          <w:tcPr>
            <w:tcW w:type="dxa" w:w="6480"/>
            <w:shd w:val="clear" w:color="auto" w:fill="F2F4F8"/>
            <w:tcBorders>
              <w:top w:val="single" w:sz="4" w:space="0" w:color="CCCCCC"/>
              <w:left w:val="single" w:sz="4" w:space="0" w:color="CCCCCC"/>
              <w:bottom w:val="single" w:sz="4" w:space="0" w:color="CCCCCC"/>
              <w:right w:val="single" w:sz="4" w:space="0" w:color="CCCCCC"/>
            </w:tcBorders>
          </w:tcPr>
          <w:p>
            <w:r>
              <w:rPr>
                <w:sz w:val="20"/>
              </w:rPr>
              <w:t>BI + ML + Apps are separate — high cost, inconsistent data</w:t>
            </w:r>
          </w:p>
        </w:tc>
      </w:tr>
    </w:tbl>
    <w:p>
      <w:pPr>
        <w:spacing w:before="280" w:after="120"/>
        <w:pBdr>
          <w:bottom w:val="single" w:sz="6" w:space="1" w:color="29B5E8"/>
        </w:pBdr>
      </w:pPr>
      <w:r>
        <w:rPr>
          <w:b/>
          <w:color w:val="0D1B2A"/>
          <w:sz w:val="44"/>
        </w:rPr>
        <w:t>3. The Solution</w:t>
      </w:r>
    </w:p>
    <w:p>
      <w:pPr>
        <w:spacing w:before="0" w:after="80"/>
        <w:jc w:val="left"/>
      </w:pPr>
      <w:r>
        <w:rPr>
          <w:b w:val="0"/>
          <w:i w:val="0"/>
          <w:color w:val="1A1A2E"/>
          <w:sz w:val="22"/>
        </w:rPr>
        <w:t>A single, unified intelligent analytics platform built entirely on Snowflake that combines:</w:t>
      </w:r>
    </w:p>
    <w:p>
      <w:pPr>
        <w:pStyle w:val="ListBullet"/>
        <w:spacing w:after="60"/>
        <w:ind w:left="360"/>
      </w:pPr>
      <w:r>
        <w:rPr>
          <w:color w:val="1A1A2E"/>
          <w:sz w:val="22"/>
        </w:rPr>
        <w:t>Natural Language Analytics — Ask questions, get answers. No SQL required.</w:t>
      </w:r>
    </w:p>
    <w:p>
      <w:pPr>
        <w:pStyle w:val="ListBullet"/>
        <w:spacing w:after="60"/>
        <w:ind w:left="360"/>
      </w:pPr>
      <w:r>
        <w:rPr>
          <w:color w:val="1A1A2E"/>
          <w:sz w:val="22"/>
        </w:rPr>
        <w:t>Semantic Search — Find insights from historical reports instantly.</w:t>
      </w:r>
    </w:p>
    <w:p>
      <w:pPr>
        <w:pStyle w:val="ListBullet"/>
        <w:spacing w:after="60"/>
        <w:ind w:left="360"/>
      </w:pPr>
      <w:r>
        <w:rPr>
          <w:color w:val="1A1A2E"/>
          <w:sz w:val="22"/>
        </w:rPr>
        <w:t>Predictive Intelligence — Forecast demand and detect anomalies automatically.</w:t>
      </w:r>
    </w:p>
    <w:p>
      <w:pPr>
        <w:pStyle w:val="ListBullet"/>
        <w:spacing w:after="60"/>
        <w:ind w:left="360"/>
      </w:pPr>
      <w:r>
        <w:rPr>
          <w:color w:val="1A1A2E"/>
          <w:sz w:val="22"/>
        </w:rPr>
        <w:t>One App — Everything delivered through a single, simple Streamlit interface.</w:t>
      </w:r>
    </w:p>
    <w:p>
      <w:pPr>
        <w:spacing w:before="280" w:after="120"/>
        <w:pBdr>
          <w:bottom w:val="single" w:sz="6" w:space="1" w:color="29B5E8"/>
        </w:pBdr>
      </w:pPr>
      <w:r>
        <w:rPr>
          <w:b/>
          <w:color w:val="0D1B2A"/>
          <w:sz w:val="44"/>
        </w:rPr>
        <w:t>4. Data Domain</w:t>
      </w:r>
    </w:p>
    <w:p>
      <w:pPr>
        <w:spacing w:before="0" w:after="120"/>
        <w:jc w:val="left"/>
      </w:pPr>
      <w:r>
        <w:rPr>
          <w:b w:val="0"/>
          <w:i w:val="0"/>
          <w:color w:val="1A1A2E"/>
          <w:sz w:val="22"/>
        </w:rPr>
        <w:t>The platform covers a company that manufactures products and sells them online — end to end.</w:t>
      </w:r>
    </w:p>
    <w:tbl>
      <w:tblPr>
        <w:tblStyle w:val="TableGrid"/>
        <w:tblW w:type="auto" w:w="0"/>
        <w:jc w:val="left"/>
        <w:tblLook w:firstColumn="1" w:firstRow="1" w:lastColumn="0" w:lastRow="0" w:noHBand="0" w:noVBand="1" w:val="04A0"/>
      </w:tblPr>
      <w:tblGrid>
        <w:gridCol w:w="3249"/>
        <w:gridCol w:w="3249"/>
        <w:gridCol w:w="3249"/>
      </w:tblGrid>
      <w:tr>
        <w:tc>
          <w:tcPr>
            <w:tcW w:type="dxa" w:w="2880"/>
            <w:shd w:val="clear" w:color="auto" w:fill="0D1B2A"/>
          </w:tcPr>
          <w:p>
            <w:r>
              <w:rPr>
                <w:b/>
                <w:color w:val="FFFFFF"/>
                <w:sz w:val="20"/>
              </w:rPr>
              <w:t>Domain</w:t>
            </w:r>
          </w:p>
        </w:tc>
        <w:tc>
          <w:tcPr>
            <w:tcW w:type="dxa" w:w="3600"/>
            <w:shd w:val="clear" w:color="auto" w:fill="0D1B2A"/>
          </w:tcPr>
          <w:p>
            <w:r>
              <w:rPr>
                <w:b/>
                <w:color w:val="FFFFFF"/>
                <w:sz w:val="20"/>
              </w:rPr>
              <w:t>Coverage</w:t>
            </w:r>
          </w:p>
        </w:tc>
        <w:tc>
          <w:tcPr>
            <w:tcW w:type="dxa" w:w="4320"/>
            <w:shd w:val="clear" w:color="auto" w:fill="0D1B2A"/>
          </w:tcPr>
          <w:p>
            <w:r>
              <w:rPr>
                <w:b/>
                <w:color w:val="FFFFFF"/>
                <w:sz w:val="20"/>
              </w:rPr>
              <w:t>Key Entities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E-commerce / Retail</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20"/>
              </w:rPr>
              <w:t>Online retail and customer side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20"/>
              </w:rPr>
              <w:t>Orders, Customers, Payments, Reviews, Products</w:t>
            </w:r>
          </w:p>
        </w:tc>
      </w:tr>
      <w:tr>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B2B / Wholesale</w:t>
            </w:r>
          </w:p>
        </w:tc>
        <w:tc>
          <w:tcPr>
            <w:tcW w:type="dxa" w:w="3600"/>
            <w:shd w:val="clear" w:color="auto" w:fill="F2F4F8"/>
            <w:tcBorders>
              <w:top w:val="single" w:sz="4" w:space="0" w:color="CCCCCC"/>
              <w:left w:val="single" w:sz="4" w:space="0" w:color="CCCCCC"/>
              <w:bottom w:val="single" w:sz="4" w:space="0" w:color="CCCCCC"/>
              <w:right w:val="single" w:sz="4" w:space="0" w:color="CCCCCC"/>
            </w:tcBorders>
          </w:tcPr>
          <w:p>
            <w:r>
              <w:rPr>
                <w:sz w:val="20"/>
              </w:rPr>
              <w:t>Supplier and employee sales</w:t>
            </w:r>
          </w:p>
        </w:tc>
        <w:tc>
          <w:tcPr>
            <w:tcW w:type="dxa" w:w="4320"/>
            <w:shd w:val="clear" w:color="auto" w:fill="F2F4F8"/>
            <w:tcBorders>
              <w:top w:val="single" w:sz="4" w:space="0" w:color="CCCCCC"/>
              <w:left w:val="single" w:sz="4" w:space="0" w:color="CCCCCC"/>
              <w:bottom w:val="single" w:sz="4" w:space="0" w:color="CCCCCC"/>
              <w:right w:val="single" w:sz="4" w:space="0" w:color="CCCCCC"/>
            </w:tcBorders>
          </w:tcPr>
          <w:p>
            <w:r>
              <w:rPr>
                <w:sz w:val="20"/>
              </w:rPr>
              <w:t>Suppliers, Product Catalogue, Wholesale Orders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Manufacturing</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20"/>
              </w:rPr>
              <w:t>Factory and production operations</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20"/>
              </w:rPr>
              <w:t>Machines, Production Orders, Defects, Inventory</w:t>
            </w:r>
          </w:p>
        </w:tc>
      </w:tr>
    </w:tbl>
    <w:p>
      <w:pPr>
        <w:spacing w:before="280" w:after="120"/>
        <w:pBdr>
          <w:bottom w:val="single" w:sz="6" w:space="1" w:color="29B5E8"/>
        </w:pBdr>
      </w:pPr>
      <w:r>
        <w:rPr>
          <w:b/>
          <w:color w:val="0D1B2A"/>
          <w:sz w:val="44"/>
        </w:rPr>
        <w:t>5. Layered Architecture</w:t>
      </w:r>
    </w:p>
    <w:p>
      <w:pPr>
        <w:spacing w:before="0" w:after="160"/>
        <w:jc w:val="left"/>
      </w:pPr>
      <w:r>
        <w:rPr>
          <w:b w:val="0"/>
          <w:i w:val="0"/>
          <w:color w:val="1A1A2E"/>
          <w:sz w:val="22"/>
        </w:rPr>
        <w:t>The platform follows a Bronze / Silver / Gold layered architecture — a modern data engineering best practice that ensures raw data is always preserved, transformations are incremental and auditable, and the Gold layer is always business-ready.</w:t>
      </w:r>
    </w:p>
    <w:p>
      <w:pPr>
        <w:spacing w:before="280" w:after="120"/>
      </w:pPr>
      <w:r>
        <w:rPr>
          <w:b/>
          <w:color w:val="29B5E8"/>
          <w:sz w:val="32"/>
        </w:rPr>
        <w:t>5.1  Bronze Layer — Raw Ingestion</w:t>
      </w:r>
    </w:p>
    <w:p>
      <w:pPr>
        <w:pStyle w:val="ListBullet"/>
        <w:spacing w:after="60"/>
        <w:ind w:left="360"/>
      </w:pPr>
      <w:r>
        <w:rPr>
          <w:color w:val="1A1A2E"/>
          <w:sz w:val="22"/>
        </w:rPr>
        <w:t>Data loaded as-is from CSV files using Snowflake internal stages (COPY INTO)</w:t>
      </w:r>
    </w:p>
    <w:p>
      <w:pPr>
        <w:pStyle w:val="ListBullet"/>
        <w:spacing w:after="60"/>
        <w:ind w:left="360"/>
      </w:pPr>
      <w:r>
        <w:rPr>
          <w:color w:val="1A1A2E"/>
          <w:sz w:val="22"/>
        </w:rPr>
        <w:t>No transformations or business logic applied</w:t>
      </w:r>
    </w:p>
    <w:p>
      <w:pPr>
        <w:pStyle w:val="ListBullet"/>
        <w:spacing w:after="60"/>
        <w:ind w:left="360"/>
      </w:pPr>
      <w:r>
        <w:rPr>
          <w:color w:val="1A1A2E"/>
          <w:sz w:val="22"/>
        </w:rPr>
        <w:t>Acts as the system of record — full replayability if anything breaks downstream</w:t>
      </w:r>
    </w:p>
    <w:p>
      <w:pPr>
        <w:pStyle w:val="ListBullet"/>
        <w:spacing w:after="60"/>
        <w:ind w:left="360"/>
      </w:pPr>
      <w:r>
        <w:rPr>
          <w:color w:val="1A1A2E"/>
          <w:sz w:val="22"/>
        </w:rPr>
        <w:t>Schema: DB_DEMO_MAYURESH.BRONZE</w:t>
      </w:r>
    </w:p>
    <w:p>
      <w:pPr>
        <w:spacing w:before="280" w:after="120"/>
      </w:pPr>
      <w:r>
        <w:rPr>
          <w:b/>
          <w:color w:val="29B5E8"/>
          <w:sz w:val="32"/>
        </w:rPr>
        <w:t>5.2  Silver Layer — Cleansing &amp; Standardisation</w:t>
      </w:r>
    </w:p>
    <w:p>
      <w:pPr>
        <w:pStyle w:val="ListBullet"/>
        <w:spacing w:after="60"/>
        <w:ind w:left="360"/>
      </w:pPr>
      <w:r>
        <w:rPr>
          <w:color w:val="1A1A2E"/>
          <w:sz w:val="22"/>
        </w:rPr>
        <w:t>Null handling — replace or flag nulls with meaningful defaults</w:t>
      </w:r>
    </w:p>
    <w:p>
      <w:pPr>
        <w:pStyle w:val="ListBullet"/>
        <w:spacing w:after="60"/>
        <w:ind w:left="360"/>
      </w:pPr>
      <w:r>
        <w:rPr>
          <w:color w:val="1A1A2E"/>
          <w:sz w:val="22"/>
        </w:rPr>
        <w:t>Type casting — ensure dates, amounts, and IDs are correctly typed</w:t>
      </w:r>
    </w:p>
    <w:p>
      <w:pPr>
        <w:pStyle w:val="ListBullet"/>
        <w:spacing w:after="60"/>
        <w:ind w:left="360"/>
      </w:pPr>
      <w:r>
        <w:rPr>
          <w:color w:val="1A1A2E"/>
          <w:sz w:val="22"/>
        </w:rPr>
        <w:t>Column renaming — standard snake_case naming convention</w:t>
      </w:r>
    </w:p>
    <w:p>
      <w:pPr>
        <w:pStyle w:val="ListBullet"/>
        <w:spacing w:after="60"/>
        <w:ind w:left="360"/>
      </w:pPr>
      <w:r>
        <w:rPr>
          <w:color w:val="1A1A2E"/>
          <w:sz w:val="22"/>
        </w:rPr>
        <w:t>Deduplication — remove duplicates using ROW_NUMBER()</w:t>
      </w:r>
    </w:p>
    <w:p>
      <w:pPr>
        <w:pStyle w:val="ListBullet"/>
        <w:spacing w:after="60"/>
        <w:ind w:left="360"/>
      </w:pPr>
      <w:r>
        <w:rPr>
          <w:color w:val="1A1A2E"/>
          <w:sz w:val="22"/>
        </w:rPr>
        <w:t>Schema: DB_DEMO_MAYURESH.SILVER</w:t>
      </w:r>
    </w:p>
    <w:p>
      <w:pPr>
        <w:spacing w:before="280" w:after="120"/>
      </w:pPr>
      <w:r>
        <w:rPr>
          <w:b/>
          <w:color w:val="29B5E8"/>
          <w:sz w:val="32"/>
        </w:rPr>
        <w:t>5.3  Gold Layer — Dimensional Model</w:t>
      </w:r>
    </w:p>
    <w:p>
      <w:pPr>
        <w:pStyle w:val="ListBullet"/>
        <w:spacing w:after="60"/>
        <w:ind w:left="360"/>
      </w:pPr>
      <w:r>
        <w:rPr>
          <w:color w:val="1A1A2E"/>
          <w:sz w:val="22"/>
        </w:rPr>
        <w:t>Business-ready star schema optimised for analytics and AI consumption</w:t>
      </w:r>
    </w:p>
    <w:p>
      <w:pPr>
        <w:pStyle w:val="ListBullet"/>
        <w:spacing w:after="60"/>
        <w:ind w:left="360"/>
      </w:pPr>
      <w:r>
        <w:rPr>
          <w:color w:val="1A1A2E"/>
          <w:sz w:val="22"/>
        </w:rPr>
        <w:t>Fact tables: FACT_SALES, FACT_ORDERS, FACT_PRODUCTION, FACT_DEFECTS</w:t>
      </w:r>
    </w:p>
    <w:p>
      <w:pPr>
        <w:pStyle w:val="ListBullet"/>
        <w:spacing w:after="60"/>
        <w:ind w:left="360"/>
      </w:pPr>
      <w:r>
        <w:rPr>
          <w:color w:val="1A1A2E"/>
          <w:sz w:val="22"/>
        </w:rPr>
        <w:t>Dimension tables: DIM_DATE, DIM_CUSTOMER, DIM_PRODUCT, DIM_SELLER, DIM_MACHINE, DIM_LOCATION</w:t>
      </w:r>
    </w:p>
    <w:p>
      <w:pPr>
        <w:pStyle w:val="ListBullet"/>
        <w:spacing w:after="60"/>
        <w:ind w:left="360"/>
      </w:pPr>
      <w:r>
        <w:rPr>
          <w:color w:val="1A1A2E"/>
          <w:sz w:val="22"/>
        </w:rPr>
        <w:t>Schema: DB_DEMO_MAYURESH.GOLD</w:t>
      </w:r>
    </w:p>
    <w:p>
      <w:pPr>
        <w:spacing w:before="280" w:after="120"/>
        <w:pBdr>
          <w:bottom w:val="single" w:sz="6" w:space="1" w:color="29B5E8"/>
        </w:pBdr>
      </w:pPr>
      <w:r>
        <w:rPr>
          <w:b/>
          <w:color w:val="0D1B2A"/>
          <w:sz w:val="44"/>
        </w:rPr>
        <w:t>6. Dimensional Model — Star Schema</w:t>
      </w:r>
    </w:p>
    <w:p>
      <w:pPr>
        <w:spacing w:before="280" w:after="120"/>
      </w:pPr>
      <w:r>
        <w:rPr>
          <w:b/>
          <w:color w:val="0D1B2A"/>
          <w:sz w:val="26"/>
        </w:rPr>
        <w:t>Fact Tables</w:t>
      </w:r>
    </w:p>
    <w:tbl>
      <w:tblPr>
        <w:tblStyle w:val="TableGrid"/>
        <w:tblW w:type="auto" w:w="0"/>
        <w:jc w:val="left"/>
        <w:tblLook w:firstColumn="1" w:firstRow="1" w:lastColumn="0" w:lastRow="0" w:noHBand="0" w:noVBand="1" w:val="04A0"/>
      </w:tblPr>
      <w:tblGrid>
        <w:gridCol w:w="3249"/>
        <w:gridCol w:w="3249"/>
        <w:gridCol w:w="3249"/>
      </w:tblGrid>
      <w:tr>
        <w:tc>
          <w:tcPr>
            <w:tcW w:type="dxa" w:w="2880"/>
            <w:shd w:val="clear" w:color="auto" w:fill="0D1B2A"/>
          </w:tcPr>
          <w:p>
            <w:r>
              <w:rPr>
                <w:b/>
                <w:color w:val="FFFFFF"/>
                <w:sz w:val="20"/>
              </w:rPr>
              <w:t>Fact Table</w:t>
            </w:r>
          </w:p>
        </w:tc>
        <w:tc>
          <w:tcPr>
            <w:tcW w:type="dxa" w:w="3312"/>
            <w:shd w:val="clear" w:color="auto" w:fill="0D1B2A"/>
          </w:tcPr>
          <w:p>
            <w:r>
              <w:rPr>
                <w:b/>
                <w:color w:val="FFFFFF"/>
                <w:sz w:val="20"/>
              </w:rPr>
              <w:t>Grain</w:t>
            </w:r>
          </w:p>
        </w:tc>
        <w:tc>
          <w:tcPr>
            <w:tcW w:type="dxa" w:w="4608"/>
            <w:shd w:val="clear" w:color="auto" w:fill="0D1B2A"/>
          </w:tcPr>
          <w:p>
            <w:r>
              <w:rPr>
                <w:b/>
                <w:color w:val="FFFFFF"/>
                <w:sz w:val="20"/>
              </w:rPr>
              <w:t>Key Measures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FACT_SALES</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sz w:val="20"/>
              </w:rPr>
              <w:t>One row per order item</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sz w:val="20"/>
              </w:rPr>
              <w:t>Revenue, quantity, freight, discount</w:t>
            </w:r>
          </w:p>
        </w:tc>
      </w:tr>
      <w:tr>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FACT_ORDERS</w:t>
            </w:r>
          </w:p>
        </w:tc>
        <w:tc>
          <w:tcPr>
            <w:tcW w:type="dxa" w:w="3312"/>
            <w:shd w:val="clear" w:color="auto" w:fill="F2F4F8"/>
            <w:tcBorders>
              <w:top w:val="single" w:sz="4" w:space="0" w:color="CCCCCC"/>
              <w:left w:val="single" w:sz="4" w:space="0" w:color="CCCCCC"/>
              <w:bottom w:val="single" w:sz="4" w:space="0" w:color="CCCCCC"/>
              <w:right w:val="single" w:sz="4" w:space="0" w:color="CCCCCC"/>
            </w:tcBorders>
          </w:tcPr>
          <w:p>
            <w:r>
              <w:rPr>
                <w:sz w:val="20"/>
              </w:rPr>
              <w:t>One row per order</w:t>
            </w:r>
          </w:p>
        </w:tc>
        <w:tc>
          <w:tcPr>
            <w:tcW w:type="dxa" w:w="4608"/>
            <w:shd w:val="clear" w:color="auto" w:fill="F2F4F8"/>
            <w:tcBorders>
              <w:top w:val="single" w:sz="4" w:space="0" w:color="CCCCCC"/>
              <w:left w:val="single" w:sz="4" w:space="0" w:color="CCCCCC"/>
              <w:bottom w:val="single" w:sz="4" w:space="0" w:color="CCCCCC"/>
              <w:right w:val="single" w:sz="4" w:space="0" w:color="CCCCCC"/>
            </w:tcBorders>
          </w:tcPr>
          <w:p>
            <w:r>
              <w:rPr>
                <w:sz w:val="20"/>
              </w:rPr>
              <w:t>Order count, payment value, delivery days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FACT_PRODUCTION</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sz w:val="20"/>
              </w:rPr>
              <w:t>One row per production order</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sz w:val="20"/>
              </w:rPr>
              <w:t>Planned vs actual quantity, production cost</w:t>
            </w:r>
          </w:p>
        </w:tc>
      </w:tr>
      <w:tr>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FACT_DEFECTS</w:t>
            </w:r>
          </w:p>
        </w:tc>
        <w:tc>
          <w:tcPr>
            <w:tcW w:type="dxa" w:w="3312"/>
            <w:shd w:val="clear" w:color="auto" w:fill="F2F4F8"/>
            <w:tcBorders>
              <w:top w:val="single" w:sz="4" w:space="0" w:color="CCCCCC"/>
              <w:left w:val="single" w:sz="4" w:space="0" w:color="CCCCCC"/>
              <w:bottom w:val="single" w:sz="4" w:space="0" w:color="CCCCCC"/>
              <w:right w:val="single" w:sz="4" w:space="0" w:color="CCCCCC"/>
            </w:tcBorders>
          </w:tcPr>
          <w:p>
            <w:r>
              <w:rPr>
                <w:sz w:val="20"/>
              </w:rPr>
              <w:t>One row per defect record</w:t>
            </w:r>
          </w:p>
        </w:tc>
        <w:tc>
          <w:tcPr>
            <w:tcW w:type="dxa" w:w="4608"/>
            <w:shd w:val="clear" w:color="auto" w:fill="F2F4F8"/>
            <w:tcBorders>
              <w:top w:val="single" w:sz="4" w:space="0" w:color="CCCCCC"/>
              <w:left w:val="single" w:sz="4" w:space="0" w:color="CCCCCC"/>
              <w:bottom w:val="single" w:sz="4" w:space="0" w:color="CCCCCC"/>
              <w:right w:val="single" w:sz="4" w:space="0" w:color="CCCCCC"/>
            </w:tcBorders>
          </w:tcPr>
          <w:p>
            <w:r>
              <w:rPr>
                <w:sz w:val="20"/>
              </w:rPr>
              <w:t>Defect quantity, defect rate</w:t>
            </w:r>
          </w:p>
        </w:tc>
      </w:tr>
    </w:tbl>
    <w:p>
      <w:pPr>
        <w:spacing w:before="0" w:after="120"/>
        <w:jc w:val="left"/>
      </w:pPr>
      <w:r>
        <w:rPr>
          <w:b w:val="0"/>
          <w:i w:val="0"/>
          <w:color w:val="1A1A2E"/>
          <w:sz w:val="22"/>
        </w:rPr>
      </w:r>
    </w:p>
    <w:p>
      <w:pPr>
        <w:spacing w:before="280" w:after="120"/>
      </w:pPr>
      <w:r>
        <w:rPr>
          <w:b/>
          <w:color w:val="0D1B2A"/>
          <w:sz w:val="26"/>
        </w:rPr>
        <w:t>Dimension Tables</w:t>
      </w:r>
    </w:p>
    <w:tbl>
      <w:tblPr>
        <w:tblStyle w:val="TableGrid"/>
        <w:tblW w:type="auto" w:w="0"/>
        <w:jc w:val="left"/>
        <w:tblLook w:firstColumn="1" w:firstRow="1" w:lastColumn="0" w:lastRow="0" w:noHBand="0" w:noVBand="1" w:val="04A0"/>
      </w:tblPr>
      <w:tblGrid>
        <w:gridCol w:w="4873"/>
        <w:gridCol w:w="4873"/>
      </w:tblGrid>
      <w:tr>
        <w:tc>
          <w:tcPr>
            <w:tcW w:type="dxa" w:w="3600"/>
            <w:shd w:val="clear" w:color="auto" w:fill="0D1B2A"/>
          </w:tcPr>
          <w:p>
            <w:r>
              <w:rPr>
                <w:b/>
                <w:color w:val="FFFFFF"/>
                <w:sz w:val="20"/>
              </w:rPr>
              <w:t>Dimension Table</w:t>
            </w:r>
          </w:p>
        </w:tc>
        <w:tc>
          <w:tcPr>
            <w:tcW w:type="dxa" w:w="7200"/>
            <w:shd w:val="clear" w:color="auto" w:fill="0D1B2A"/>
          </w:tcPr>
          <w:p>
            <w:r>
              <w:rPr>
                <w:b/>
                <w:color w:val="FFFFFF"/>
                <w:sz w:val="20"/>
              </w:rPr>
              <w:t>Description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20"/>
              </w:rPr>
              <w:t>DIM_DATE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sz w:val="20"/>
              </w:rPr>
              <w:t>Calendar — year, quarter, month, week, day</w:t>
            </w:r>
          </w:p>
        </w:tc>
      </w:tr>
      <w:tr>
        <w:tc>
          <w:tcPr>
            <w:tcW w:type="dxa" w:w="3600"/>
            <w:shd w:val="clear" w:color="auto" w:fill="F2F4F8"/>
            <w:tcBorders>
              <w:top w:val="single" w:sz="4" w:space="0" w:color="CCCCCC"/>
              <w:left w:val="single" w:sz="4" w:space="0" w:color="CCCCCC"/>
              <w:bottom w:val="single" w:sz="4" w:space="0" w:color="CCCCCC"/>
              <w:right w:val="single" w:sz="4" w:space="0" w:color="CCCCCC"/>
            </w:tcBorders>
          </w:tcPr>
          <w:p>
            <w:r>
              <w:rPr>
                <w:sz w:val="20"/>
              </w:rPr>
              <w:t>DIM_CUSTOMER</w:t>
            </w:r>
          </w:p>
        </w:tc>
        <w:tc>
          <w:tcPr>
            <w:tcW w:type="dxa" w:w="7200"/>
            <w:shd w:val="clear" w:color="auto" w:fill="F2F4F8"/>
            <w:tcBorders>
              <w:top w:val="single" w:sz="4" w:space="0" w:color="CCCCCC"/>
              <w:left w:val="single" w:sz="4" w:space="0" w:color="CCCCCC"/>
              <w:bottom w:val="single" w:sz="4" w:space="0" w:color="CCCCCC"/>
              <w:right w:val="single" w:sz="4" w:space="0" w:color="CCCCCC"/>
            </w:tcBorders>
          </w:tcPr>
          <w:p>
            <w:r>
              <w:rPr>
                <w:sz w:val="20"/>
              </w:rPr>
              <w:t>Customer details, city, state, region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20"/>
              </w:rPr>
              <w:t>DIM_PRODUCT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sz w:val="20"/>
              </w:rPr>
              <w:t>Product, category, translated category name</w:t>
            </w:r>
          </w:p>
        </w:tc>
      </w:tr>
      <w:tr>
        <w:tc>
          <w:tcPr>
            <w:tcW w:type="dxa" w:w="3600"/>
            <w:shd w:val="clear" w:color="auto" w:fill="F2F4F8"/>
            <w:tcBorders>
              <w:top w:val="single" w:sz="4" w:space="0" w:color="CCCCCC"/>
              <w:left w:val="single" w:sz="4" w:space="0" w:color="CCCCCC"/>
              <w:bottom w:val="single" w:sz="4" w:space="0" w:color="CCCCCC"/>
              <w:right w:val="single" w:sz="4" w:space="0" w:color="CCCCCC"/>
            </w:tcBorders>
          </w:tcPr>
          <w:p>
            <w:r>
              <w:rPr>
                <w:sz w:val="20"/>
              </w:rPr>
              <w:t>DIM_SELLER</w:t>
            </w:r>
          </w:p>
        </w:tc>
        <w:tc>
          <w:tcPr>
            <w:tcW w:type="dxa" w:w="7200"/>
            <w:shd w:val="clear" w:color="auto" w:fill="F2F4F8"/>
            <w:tcBorders>
              <w:top w:val="single" w:sz="4" w:space="0" w:color="CCCCCC"/>
              <w:left w:val="single" w:sz="4" w:space="0" w:color="CCCCCC"/>
              <w:bottom w:val="single" w:sz="4" w:space="0" w:color="CCCCCC"/>
              <w:right w:val="single" w:sz="4" w:space="0" w:color="CCCCCC"/>
            </w:tcBorders>
          </w:tcPr>
          <w:p>
            <w:r>
              <w:rPr>
                <w:sz w:val="20"/>
              </w:rPr>
              <w:t>Seller details and location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20"/>
              </w:rPr>
              <w:t>DIM_MACHINE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sz w:val="20"/>
              </w:rPr>
              <w:t>Machine type, plant location, status, capacity</w:t>
            </w:r>
          </w:p>
        </w:tc>
      </w:tr>
      <w:tr>
        <w:tc>
          <w:tcPr>
            <w:tcW w:type="dxa" w:w="3600"/>
            <w:shd w:val="clear" w:color="auto" w:fill="F2F4F8"/>
            <w:tcBorders>
              <w:top w:val="single" w:sz="4" w:space="0" w:color="CCCCCC"/>
              <w:left w:val="single" w:sz="4" w:space="0" w:color="CCCCCC"/>
              <w:bottom w:val="single" w:sz="4" w:space="0" w:color="CCCCCC"/>
              <w:right w:val="single" w:sz="4" w:space="0" w:color="CCCCCC"/>
            </w:tcBorders>
          </w:tcPr>
          <w:p>
            <w:r>
              <w:rPr>
                <w:sz w:val="20"/>
              </w:rPr>
              <w:t>DIM_LOCATION</w:t>
            </w:r>
          </w:p>
        </w:tc>
        <w:tc>
          <w:tcPr>
            <w:tcW w:type="dxa" w:w="7200"/>
            <w:shd w:val="clear" w:color="auto" w:fill="F2F4F8"/>
            <w:tcBorders>
              <w:top w:val="single" w:sz="4" w:space="0" w:color="CCCCCC"/>
              <w:left w:val="single" w:sz="4" w:space="0" w:color="CCCCCC"/>
              <w:bottom w:val="single" w:sz="4" w:space="0" w:color="CCCCCC"/>
              <w:right w:val="single" w:sz="4" w:space="0" w:color="CCCCCC"/>
            </w:tcBorders>
          </w:tcPr>
          <w:p>
            <w:r>
              <w:rPr>
                <w:sz w:val="20"/>
              </w:rPr>
              <w:t>Full geographic hierarchy</w:t>
            </w:r>
          </w:p>
        </w:tc>
      </w:tr>
    </w:tbl>
    <w:p>
      <w:pPr>
        <w:spacing w:before="280" w:after="120"/>
        <w:pBdr>
          <w:bottom w:val="single" w:sz="6" w:space="1" w:color="29B5E8"/>
        </w:pBdr>
      </w:pPr>
      <w:r>
        <w:rPr>
          <w:b/>
          <w:color w:val="0D1B2A"/>
          <w:sz w:val="44"/>
        </w:rPr>
        <w:t>7. AI Capabilities</w:t>
      </w:r>
    </w:p>
    <w:p>
      <w:pPr>
        <w:spacing w:before="280" w:after="120"/>
      </w:pPr>
      <w:r>
        <w:rPr>
          <w:b/>
          <w:color w:val="29B5E8"/>
          <w:sz w:val="32"/>
        </w:rPr>
        <w:t>7.1  Cortex Analyst — Natural Language to SQL</w:t>
      </w:r>
    </w:p>
    <w:p>
      <w:pPr>
        <w:spacing w:before="0" w:after="80"/>
        <w:jc w:val="left"/>
      </w:pPr>
      <w:r>
        <w:rPr>
          <w:b w:val="0"/>
          <w:i w:val="0"/>
          <w:color w:val="1A1A2E"/>
          <w:sz w:val="22"/>
        </w:rPr>
        <w:t>Cortex Analyst uses a semantic YAML model built on top of the Gold layer to translate business questions into SQL — no coding required.</w:t>
      </w:r>
    </w:p>
    <w:p>
      <w:pPr>
        <w:pStyle w:val="ListBullet"/>
        <w:spacing w:after="60"/>
        <w:ind w:left="360"/>
      </w:pPr>
      <w:r>
        <w:rPr>
          <w:color w:val="1A1A2E"/>
          <w:sz w:val="22"/>
        </w:rPr>
        <w:t>Example: "What were the top 10 products by revenue last quarter?"</w:t>
      </w:r>
    </w:p>
    <w:p>
      <w:pPr>
        <w:pStyle w:val="ListBullet"/>
        <w:spacing w:after="60"/>
        <w:ind w:left="360"/>
      </w:pPr>
      <w:r>
        <w:rPr>
          <w:color w:val="1A1A2E"/>
          <w:sz w:val="22"/>
        </w:rPr>
        <w:t>Example: "Show me monthly sales trend for electronics."</w:t>
      </w:r>
    </w:p>
    <w:p>
      <w:pPr>
        <w:pStyle w:val="ListBullet"/>
        <w:spacing w:after="60"/>
        <w:ind w:left="360"/>
      </w:pPr>
      <w:r>
        <w:rPr>
          <w:color w:val="1A1A2E"/>
          <w:sz w:val="22"/>
        </w:rPr>
        <w:t>Example: "Which plant had the highest defect rate in 2024?"</w:t>
      </w:r>
    </w:p>
    <w:p>
      <w:pPr>
        <w:spacing w:before="280" w:after="120"/>
      </w:pPr>
      <w:r>
        <w:rPr>
          <w:b/>
          <w:color w:val="29B5E8"/>
          <w:sz w:val="32"/>
        </w:rPr>
        <w:t>7.2  Cortex Search — Semantic Insight Discovery</w:t>
      </w:r>
    </w:p>
    <w:p>
      <w:pPr>
        <w:spacing w:before="0" w:after="80"/>
        <w:jc w:val="left"/>
      </w:pPr>
      <w:r>
        <w:rPr>
          <w:b w:val="0"/>
          <w:i w:val="0"/>
          <w:color w:val="1A1A2E"/>
          <w:sz w:val="22"/>
        </w:rPr>
        <w:t>Cortex Search indexes key business insights, report summaries, and anomaly descriptions — enabling semantic search across historical context.</w:t>
      </w:r>
    </w:p>
    <w:p>
      <w:pPr>
        <w:pStyle w:val="ListBullet"/>
        <w:spacing w:after="60"/>
        <w:ind w:left="360"/>
      </w:pPr>
      <w:r>
        <w:rPr>
          <w:color w:val="1A1A2E"/>
          <w:sz w:val="22"/>
        </w:rPr>
        <w:t>Example: "Find all reports about sales decline."</w:t>
      </w:r>
    </w:p>
    <w:p>
      <w:pPr>
        <w:pStyle w:val="ListBullet"/>
        <w:spacing w:after="60"/>
        <w:ind w:left="360"/>
      </w:pPr>
      <w:r>
        <w:rPr>
          <w:color w:val="1A1A2E"/>
          <w:sz w:val="22"/>
        </w:rPr>
        <w:t>Example: "What happened with machine downtime in Plant A last year?"</w:t>
      </w:r>
    </w:p>
    <w:p>
      <w:pPr>
        <w:spacing w:before="280" w:after="120"/>
      </w:pPr>
      <w:r>
        <w:rPr>
          <w:b/>
          <w:color w:val="29B5E8"/>
          <w:sz w:val="32"/>
        </w:rPr>
        <w:t>7.3  Cortex ML — Forecasting &amp; Anomaly Detection</w:t>
      </w:r>
    </w:p>
    <w:p>
      <w:pPr>
        <w:spacing w:before="0" w:after="80"/>
        <w:jc w:val="left"/>
      </w:pPr>
      <w:r>
        <w:rPr>
          <w:b w:val="0"/>
          <w:i w:val="0"/>
          <w:color w:val="1A1A2E"/>
          <w:sz w:val="22"/>
        </w:rPr>
        <w:t>Built-in ML functions that require no data science expertise.</w:t>
      </w:r>
    </w:p>
    <w:p>
      <w:pPr>
        <w:pStyle w:val="ListBullet"/>
        <w:spacing w:after="60"/>
        <w:ind w:left="360"/>
      </w:pPr>
      <w:r>
        <w:rPr>
          <w:color w:val="1A1A2E"/>
          <w:sz w:val="22"/>
        </w:rPr>
        <w:t>Forecasting — predict future sales and production demand</w:t>
      </w:r>
    </w:p>
    <w:p>
      <w:pPr>
        <w:pStyle w:val="ListBullet"/>
        <w:spacing w:after="60"/>
        <w:ind w:left="360"/>
      </w:pPr>
      <w:r>
        <w:rPr>
          <w:color w:val="1A1A2E"/>
          <w:sz w:val="22"/>
        </w:rPr>
        <w:t>Anomaly Detection — automatically flag unusual patterns in sales, defects, or downtime</w:t>
      </w:r>
    </w:p>
    <w:p>
      <w:pPr>
        <w:pStyle w:val="ListBullet"/>
        <w:spacing w:after="60"/>
        <w:ind w:left="360"/>
      </w:pPr>
      <w:r>
        <w:rPr>
          <w:color w:val="1A1A2E"/>
          <w:sz w:val="22"/>
        </w:rPr>
        <w:t>Classification — classify customer churn risk and product quality</w:t>
      </w:r>
    </w:p>
    <w:p>
      <w:pPr>
        <w:spacing w:before="280" w:after="120"/>
      </w:pPr>
      <w:r>
        <w:rPr>
          <w:b/>
          <w:color w:val="29B5E8"/>
          <w:sz w:val="32"/>
        </w:rPr>
        <w:t>7.4  Snowflake Agent — AI Orchestration</w:t>
      </w:r>
    </w:p>
    <w:p>
      <w:pPr>
        <w:spacing w:before="0" w:after="80"/>
        <w:jc w:val="left"/>
      </w:pPr>
      <w:r>
        <w:rPr>
          <w:b w:val="0"/>
          <w:i w:val="0"/>
          <w:color w:val="1A1A2E"/>
          <w:sz w:val="22"/>
        </w:rPr>
        <w:t>The Snowflake Agent acts as an intelligent orchestrator — deciding which AI tool to use based on the user's question and combining results into a single, coherent response.</w:t>
      </w:r>
    </w:p>
    <w:p>
      <w:pPr>
        <w:spacing w:before="280" w:after="120"/>
        <w:pBdr>
          <w:bottom w:val="single" w:sz="6" w:space="1" w:color="29B5E8"/>
        </w:pBdr>
      </w:pPr>
      <w:r>
        <w:rPr>
          <w:b/>
          <w:color w:val="0D1B2A"/>
          <w:sz w:val="44"/>
        </w:rPr>
        <w:t>8. Technology Stack</w:t>
      </w:r>
    </w:p>
    <w:tbl>
      <w:tblPr>
        <w:tblStyle w:val="TableGrid"/>
        <w:tblW w:type="auto" w:w="0"/>
        <w:jc w:val="left"/>
        <w:tblLook w:firstColumn="1" w:firstRow="1" w:lastColumn="0" w:lastRow="0" w:noHBand="0" w:noVBand="1" w:val="04A0"/>
      </w:tblPr>
      <w:tblGrid>
        <w:gridCol w:w="3249"/>
        <w:gridCol w:w="3249"/>
        <w:gridCol w:w="3249"/>
      </w:tblGrid>
      <w:tr>
        <w:tc>
          <w:tcPr>
            <w:tcW w:type="dxa" w:w="2592"/>
            <w:shd w:val="clear" w:color="auto" w:fill="0D1B2A"/>
          </w:tcPr>
          <w:p>
            <w:r>
              <w:rPr>
                <w:b/>
                <w:color w:val="FFFFFF"/>
                <w:sz w:val="20"/>
              </w:rPr>
              <w:t>Layer</w:t>
            </w:r>
          </w:p>
        </w:tc>
        <w:tc>
          <w:tcPr>
            <w:tcW w:type="dxa" w:w="3168"/>
            <w:shd w:val="clear" w:color="auto" w:fill="0D1B2A"/>
          </w:tcPr>
          <w:p>
            <w:r>
              <w:rPr>
                <w:b/>
                <w:color w:val="FFFFFF"/>
                <w:sz w:val="20"/>
              </w:rPr>
              <w:t>Technology</w:t>
            </w:r>
          </w:p>
        </w:tc>
        <w:tc>
          <w:tcPr>
            <w:tcW w:type="dxa" w:w="5040"/>
            <w:shd w:val="clear" w:color="auto" w:fill="0D1B2A"/>
          </w:tcPr>
          <w:p>
            <w:r>
              <w:rPr>
                <w:b/>
                <w:color w:val="FFFFFF"/>
                <w:sz w:val="20"/>
              </w:rPr>
              <w:t>Purpose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20"/>
              </w:rPr>
              <w:t>Cloud Platform</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20"/>
              </w:rPr>
              <w:t>Snowflake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20"/>
              </w:rPr>
              <w:t>Single platform — storage, compute, AI, app</w:t>
            </w:r>
          </w:p>
        </w:tc>
      </w:tr>
      <w:tr>
        <w:tc>
          <w:tcPr>
            <w:tcW w:type="dxa" w:w="2592"/>
            <w:shd w:val="clear" w:color="auto" w:fill="F2F4F8"/>
            <w:tcBorders>
              <w:top w:val="single" w:sz="4" w:space="0" w:color="CCCCCC"/>
              <w:left w:val="single" w:sz="4" w:space="0" w:color="CCCCCC"/>
              <w:bottom w:val="single" w:sz="4" w:space="0" w:color="CCCCCC"/>
              <w:right w:val="single" w:sz="4" w:space="0" w:color="CCCCCC"/>
            </w:tcBorders>
          </w:tcPr>
          <w:p>
            <w:r>
              <w:rPr>
                <w:sz w:val="20"/>
              </w:rPr>
              <w:t>Data Pipeline</w:t>
            </w:r>
          </w:p>
        </w:tc>
        <w:tc>
          <w:tcPr>
            <w:tcW w:type="dxa" w:w="3168"/>
            <w:shd w:val="clear" w:color="auto" w:fill="F2F4F8"/>
            <w:tcBorders>
              <w:top w:val="single" w:sz="4" w:space="0" w:color="CCCCCC"/>
              <w:left w:val="single" w:sz="4" w:space="0" w:color="CCCCCC"/>
              <w:bottom w:val="single" w:sz="4" w:space="0" w:color="CCCCCC"/>
              <w:right w:val="single" w:sz="4" w:space="0" w:color="CCCCCC"/>
            </w:tcBorders>
          </w:tcPr>
          <w:p>
            <w:r>
              <w:rPr>
                <w:sz w:val="20"/>
              </w:rPr>
              <w:t>Bronze / Silver / Gold</w:t>
            </w:r>
          </w:p>
        </w:tc>
        <w:tc>
          <w:tcPr>
            <w:tcW w:type="dxa" w:w="5040"/>
            <w:shd w:val="clear" w:color="auto" w:fill="F2F4F8"/>
            <w:tcBorders>
              <w:top w:val="single" w:sz="4" w:space="0" w:color="CCCCCC"/>
              <w:left w:val="single" w:sz="4" w:space="0" w:color="CCCCCC"/>
              <w:bottom w:val="single" w:sz="4" w:space="0" w:color="CCCCCC"/>
              <w:right w:val="single" w:sz="4" w:space="0" w:color="CCCCCC"/>
            </w:tcBorders>
          </w:tcPr>
          <w:p>
            <w:r>
              <w:rPr>
                <w:sz w:val="20"/>
              </w:rPr>
              <w:t>Structured, layered data architecture</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20"/>
              </w:rPr>
              <w:t>Dimensional Model</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20"/>
              </w:rPr>
              <w:t>Star Schema</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20"/>
              </w:rPr>
              <w:t>Optimised for analytics and AI</w:t>
            </w:r>
          </w:p>
        </w:tc>
      </w:tr>
      <w:tr>
        <w:tc>
          <w:tcPr>
            <w:tcW w:type="dxa" w:w="2592"/>
            <w:shd w:val="clear" w:color="auto" w:fill="F2F4F8"/>
            <w:tcBorders>
              <w:top w:val="single" w:sz="4" w:space="0" w:color="CCCCCC"/>
              <w:left w:val="single" w:sz="4" w:space="0" w:color="CCCCCC"/>
              <w:bottom w:val="single" w:sz="4" w:space="0" w:color="CCCCCC"/>
              <w:right w:val="single" w:sz="4" w:space="0" w:color="CCCCCC"/>
            </w:tcBorders>
          </w:tcPr>
          <w:p>
            <w:r>
              <w:rPr>
                <w:sz w:val="20"/>
              </w:rPr>
              <w:t>Natural Language</w:t>
            </w:r>
          </w:p>
        </w:tc>
        <w:tc>
          <w:tcPr>
            <w:tcW w:type="dxa" w:w="3168"/>
            <w:shd w:val="clear" w:color="auto" w:fill="F2F4F8"/>
            <w:tcBorders>
              <w:top w:val="single" w:sz="4" w:space="0" w:color="CCCCCC"/>
              <w:left w:val="single" w:sz="4" w:space="0" w:color="CCCCCC"/>
              <w:bottom w:val="single" w:sz="4" w:space="0" w:color="CCCCCC"/>
              <w:right w:val="single" w:sz="4" w:space="0" w:color="CCCCCC"/>
            </w:tcBorders>
          </w:tcPr>
          <w:p>
            <w:r>
              <w:rPr>
                <w:sz w:val="20"/>
              </w:rPr>
              <w:t>Cortex Analyst</w:t>
            </w:r>
          </w:p>
        </w:tc>
        <w:tc>
          <w:tcPr>
            <w:tcW w:type="dxa" w:w="5040"/>
            <w:shd w:val="clear" w:color="auto" w:fill="F2F4F8"/>
            <w:tcBorders>
              <w:top w:val="single" w:sz="4" w:space="0" w:color="CCCCCC"/>
              <w:left w:val="single" w:sz="4" w:space="0" w:color="CCCCCC"/>
              <w:bottom w:val="single" w:sz="4" w:space="0" w:color="CCCCCC"/>
              <w:right w:val="single" w:sz="4" w:space="0" w:color="CCCCCC"/>
            </w:tcBorders>
          </w:tcPr>
          <w:p>
            <w:r>
              <w:rPr>
                <w:sz w:val="20"/>
              </w:rPr>
              <w:t>Business questions translated to SQL</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20"/>
              </w:rPr>
              <w:t>Semantic Search</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20"/>
              </w:rPr>
              <w:t>Cortex Search Service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20"/>
              </w:rPr>
              <w:t>Index and retrieve insights semantically</w:t>
            </w:r>
          </w:p>
        </w:tc>
      </w:tr>
      <w:tr>
        <w:tc>
          <w:tcPr>
            <w:tcW w:type="dxa" w:w="2592"/>
            <w:shd w:val="clear" w:color="auto" w:fill="F2F4F8"/>
            <w:tcBorders>
              <w:top w:val="single" w:sz="4" w:space="0" w:color="CCCCCC"/>
              <w:left w:val="single" w:sz="4" w:space="0" w:color="CCCCCC"/>
              <w:bottom w:val="single" w:sz="4" w:space="0" w:color="CCCCCC"/>
              <w:right w:val="single" w:sz="4" w:space="0" w:color="CCCCCC"/>
            </w:tcBorders>
          </w:tcPr>
          <w:p>
            <w:r>
              <w:rPr>
                <w:sz w:val="20"/>
              </w:rPr>
              <w:t>Predictive AI</w:t>
            </w:r>
          </w:p>
        </w:tc>
        <w:tc>
          <w:tcPr>
            <w:tcW w:type="dxa" w:w="3168"/>
            <w:shd w:val="clear" w:color="auto" w:fill="F2F4F8"/>
            <w:tcBorders>
              <w:top w:val="single" w:sz="4" w:space="0" w:color="CCCCCC"/>
              <w:left w:val="single" w:sz="4" w:space="0" w:color="CCCCCC"/>
              <w:bottom w:val="single" w:sz="4" w:space="0" w:color="CCCCCC"/>
              <w:right w:val="single" w:sz="4" w:space="0" w:color="CCCCCC"/>
            </w:tcBorders>
          </w:tcPr>
          <w:p>
            <w:r>
              <w:rPr>
                <w:sz w:val="20"/>
              </w:rPr>
              <w:t>Cortex ML Functions</w:t>
            </w:r>
          </w:p>
        </w:tc>
        <w:tc>
          <w:tcPr>
            <w:tcW w:type="dxa" w:w="5040"/>
            <w:shd w:val="clear" w:color="auto" w:fill="F2F4F8"/>
            <w:tcBorders>
              <w:top w:val="single" w:sz="4" w:space="0" w:color="CCCCCC"/>
              <w:left w:val="single" w:sz="4" w:space="0" w:color="CCCCCC"/>
              <w:bottom w:val="single" w:sz="4" w:space="0" w:color="CCCCCC"/>
              <w:right w:val="single" w:sz="4" w:space="0" w:color="CCCCCC"/>
            </w:tcBorders>
          </w:tcPr>
          <w:p>
            <w:r>
              <w:rPr>
                <w:sz w:val="20"/>
              </w:rPr>
              <w:t>Built-in forecasting and anomaly detection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20"/>
              </w:rPr>
              <w:t>Orchestration</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20"/>
              </w:rPr>
              <w:t>Snowflake Cortex Agent</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20"/>
              </w:rPr>
              <w:t>Intelligent routing across all AI tools</w:t>
            </w:r>
          </w:p>
        </w:tc>
      </w:tr>
      <w:tr>
        <w:tc>
          <w:tcPr>
            <w:tcW w:type="dxa" w:w="2592"/>
            <w:shd w:val="clear" w:color="auto" w:fill="F2F4F8"/>
            <w:tcBorders>
              <w:top w:val="single" w:sz="4" w:space="0" w:color="CCCCCC"/>
              <w:left w:val="single" w:sz="4" w:space="0" w:color="CCCCCC"/>
              <w:bottom w:val="single" w:sz="4" w:space="0" w:color="CCCCCC"/>
              <w:right w:val="single" w:sz="4" w:space="0" w:color="CCCCCC"/>
            </w:tcBorders>
          </w:tcPr>
          <w:p>
            <w:r>
              <w:rPr>
                <w:sz w:val="20"/>
              </w:rPr>
              <w:t>User Interface</w:t>
            </w:r>
          </w:p>
        </w:tc>
        <w:tc>
          <w:tcPr>
            <w:tcW w:type="dxa" w:w="3168"/>
            <w:shd w:val="clear" w:color="auto" w:fill="F2F4F8"/>
            <w:tcBorders>
              <w:top w:val="single" w:sz="4" w:space="0" w:color="CCCCCC"/>
              <w:left w:val="single" w:sz="4" w:space="0" w:color="CCCCCC"/>
              <w:bottom w:val="single" w:sz="4" w:space="0" w:color="CCCCCC"/>
              <w:right w:val="single" w:sz="4" w:space="0" w:color="CCCCCC"/>
            </w:tcBorders>
          </w:tcPr>
          <w:p>
            <w:r>
              <w:rPr>
                <w:sz w:val="20"/>
              </w:rPr>
              <w:t>Streamlit in Snowflake</w:t>
            </w:r>
          </w:p>
        </w:tc>
        <w:tc>
          <w:tcPr>
            <w:tcW w:type="dxa" w:w="5040"/>
            <w:shd w:val="clear" w:color="auto" w:fill="F2F4F8"/>
            <w:tcBorders>
              <w:top w:val="single" w:sz="4" w:space="0" w:color="CCCCCC"/>
              <w:left w:val="single" w:sz="4" w:space="0" w:color="CCCCCC"/>
              <w:bottom w:val="single" w:sz="4" w:space="0" w:color="CCCCCC"/>
              <w:right w:val="single" w:sz="4" w:space="0" w:color="CCCCCC"/>
            </w:tcBorders>
          </w:tcPr>
          <w:p>
            <w:r>
              <w:rPr>
                <w:sz w:val="20"/>
              </w:rPr>
              <w:t>Native app — no infrastructure required</w:t>
            </w:r>
          </w:p>
        </w:tc>
      </w:tr>
    </w:tbl>
    <w:p>
      <w:pPr>
        <w:spacing w:before="280" w:after="120"/>
        <w:pBdr>
          <w:bottom w:val="single" w:sz="6" w:space="1" w:color="29B5E8"/>
        </w:pBdr>
      </w:pPr>
      <w:r>
        <w:rPr>
          <w:b/>
          <w:color w:val="0D1B2A"/>
          <w:sz w:val="44"/>
        </w:rPr>
        <w:t>9. Business Value</w:t>
      </w:r>
    </w:p>
    <w:tbl>
      <w:tblPr>
        <w:tblStyle w:val="TableGrid"/>
        <w:tblW w:type="auto" w:w="0"/>
        <w:jc w:val="left"/>
        <w:tblLook w:firstColumn="1" w:firstRow="1" w:lastColumn="0" w:lastRow="0" w:noHBand="0" w:noVBand="1" w:val="04A0"/>
      </w:tblPr>
      <w:tblGrid>
        <w:gridCol w:w="3249"/>
        <w:gridCol w:w="3249"/>
        <w:gridCol w:w="3249"/>
      </w:tblGrid>
      <w:tr>
        <w:tc>
          <w:tcPr>
            <w:tcW w:type="dxa" w:w="4032"/>
            <w:shd w:val="clear" w:color="auto" w:fill="0D1B2A"/>
          </w:tcPr>
          <w:p>
            <w:r>
              <w:rPr>
                <w:b/>
                <w:color w:val="FFFFFF"/>
                <w:sz w:val="20"/>
              </w:rPr>
              <w:t>Metric</w:t>
            </w:r>
          </w:p>
        </w:tc>
        <w:tc>
          <w:tcPr>
            <w:tcW w:type="dxa" w:w="2880"/>
            <w:shd w:val="clear" w:color="auto" w:fill="0D1B2A"/>
          </w:tcPr>
          <w:p>
            <w:r>
              <w:rPr>
                <w:b/>
                <w:color w:val="FFFFFF"/>
                <w:sz w:val="20"/>
              </w:rPr>
              <w:t>Before</w:t>
            </w:r>
          </w:p>
        </w:tc>
        <w:tc>
          <w:tcPr>
            <w:tcW w:type="dxa" w:w="3888"/>
            <w:shd w:val="clear" w:color="auto" w:fill="0D1B2A"/>
          </w:tcPr>
          <w:p>
            <w:r>
              <w:rPr>
                <w:b/>
                <w:color w:val="FFFFFF"/>
                <w:sz w:val="20"/>
              </w:rPr>
              <w:t>After</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20"/>
              </w:rPr>
              <w:t>Time to answer a question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Hours / Days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sz w:val="20"/>
              </w:rPr>
              <w:t>Seconds</w:t>
            </w:r>
          </w:p>
        </w:tc>
      </w:tr>
      <w:tr>
        <w:tc>
          <w:tcPr>
            <w:tcW w:type="dxa" w:w="4032"/>
            <w:shd w:val="clear" w:color="auto" w:fill="F2F4F8"/>
            <w:tcBorders>
              <w:top w:val="single" w:sz="4" w:space="0" w:color="CCCCCC"/>
              <w:left w:val="single" w:sz="4" w:space="0" w:color="CCCCCC"/>
              <w:bottom w:val="single" w:sz="4" w:space="0" w:color="CCCCCC"/>
              <w:right w:val="single" w:sz="4" w:space="0" w:color="CCCCCC"/>
            </w:tcBorders>
          </w:tcPr>
          <w:p>
            <w:r>
              <w:rPr>
                <w:sz w:val="20"/>
              </w:rPr>
              <w:t>Users who can self-serve</w:t>
            </w:r>
          </w:p>
        </w:tc>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Analysts only</w:t>
            </w:r>
          </w:p>
        </w:tc>
        <w:tc>
          <w:tcPr>
            <w:tcW w:type="dxa" w:w="3888"/>
            <w:shd w:val="clear" w:color="auto" w:fill="F2F4F8"/>
            <w:tcBorders>
              <w:top w:val="single" w:sz="4" w:space="0" w:color="CCCCCC"/>
              <w:left w:val="single" w:sz="4" w:space="0" w:color="CCCCCC"/>
              <w:bottom w:val="single" w:sz="4" w:space="0" w:color="CCCCCC"/>
              <w:right w:val="single" w:sz="4" w:space="0" w:color="CCCCCC"/>
            </w:tcBorders>
          </w:tcPr>
          <w:p>
            <w:r>
              <w:rPr>
                <w:sz w:val="20"/>
              </w:rPr>
              <w:t>Everyone</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20"/>
              </w:rPr>
              <w:t>Forecast availability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Manual / Excel</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sz w:val="20"/>
              </w:rPr>
              <w:t>Automated, always current</w:t>
            </w:r>
          </w:p>
        </w:tc>
      </w:tr>
      <w:tr>
        <w:tc>
          <w:tcPr>
            <w:tcW w:type="dxa" w:w="4032"/>
            <w:shd w:val="clear" w:color="auto" w:fill="F2F4F8"/>
            <w:tcBorders>
              <w:top w:val="single" w:sz="4" w:space="0" w:color="CCCCCC"/>
              <w:left w:val="single" w:sz="4" w:space="0" w:color="CCCCCC"/>
              <w:bottom w:val="single" w:sz="4" w:space="0" w:color="CCCCCC"/>
              <w:right w:val="single" w:sz="4" w:space="0" w:color="CCCCCC"/>
            </w:tcBorders>
          </w:tcPr>
          <w:p>
            <w:r>
              <w:rPr>
                <w:sz w:val="20"/>
              </w:rPr>
              <w:t>Anomaly detection</w:t>
            </w:r>
          </w:p>
        </w:tc>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Reactive</w:t>
            </w:r>
          </w:p>
        </w:tc>
        <w:tc>
          <w:tcPr>
            <w:tcW w:type="dxa" w:w="3888"/>
            <w:shd w:val="clear" w:color="auto" w:fill="F2F4F8"/>
            <w:tcBorders>
              <w:top w:val="single" w:sz="4" w:space="0" w:color="CCCCCC"/>
              <w:left w:val="single" w:sz="4" w:space="0" w:color="CCCCCC"/>
              <w:bottom w:val="single" w:sz="4" w:space="0" w:color="CCCCCC"/>
              <w:right w:val="single" w:sz="4" w:space="0" w:color="CCCCCC"/>
            </w:tcBorders>
          </w:tcPr>
          <w:p>
            <w:r>
              <w:rPr>
                <w:sz w:val="20"/>
              </w:rPr>
              <w:t>Proactive, real-time</w:t>
            </w:r>
          </w:p>
        </w:tc>
      </w:tr>
      <w:tr>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Pr>
                <w:sz w:val="20"/>
              </w:rPr>
              <w:t>Number of tools required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Multiple</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sz w:val="20"/>
              </w:rPr>
              <w:t>One (Snowflake)</w:t>
            </w:r>
          </w:p>
        </w:tc>
      </w:tr>
    </w:tbl>
    <w:p>
      <w:pPr>
        <w:spacing w:before="280" w:after="120"/>
        <w:pBdr>
          <w:bottom w:val="single" w:sz="6" w:space="1" w:color="29B5E8"/>
        </w:pBdr>
      </w:pPr>
      <w:r>
        <w:rPr>
          <w:b/>
          <w:color w:val="0D1B2A"/>
          <w:sz w:val="44"/>
        </w:rPr>
        <w:t>10. Delivery Phases</w:t>
      </w:r>
    </w:p>
    <w:tbl>
      <w:tblPr>
        <w:tblStyle w:val="TableGrid"/>
        <w:tblW w:type="auto" w:w="0"/>
        <w:jc w:val="left"/>
        <w:tblLook w:firstColumn="1" w:firstRow="1" w:lastColumn="0" w:lastRow="0" w:noHBand="0" w:noVBand="1" w:val="04A0"/>
      </w:tblPr>
      <w:tblGrid>
        <w:gridCol w:w="3249"/>
        <w:gridCol w:w="3249"/>
        <w:gridCol w:w="3249"/>
      </w:tblGrid>
      <w:tr>
        <w:tc>
          <w:tcPr>
            <w:tcW w:type="dxa" w:w="1008"/>
            <w:shd w:val="clear" w:color="auto" w:fill="0D1B2A"/>
          </w:tcPr>
          <w:p>
            <w:r>
              <w:rPr>
                <w:b/>
                <w:color w:val="FFFFFF"/>
                <w:sz w:val="20"/>
              </w:rPr>
              <w:t>Phase</w:t>
            </w:r>
          </w:p>
        </w:tc>
        <w:tc>
          <w:tcPr>
            <w:tcW w:type="dxa" w:w="2880"/>
            <w:shd w:val="clear" w:color="auto" w:fill="0D1B2A"/>
          </w:tcPr>
          <w:p>
            <w:r>
              <w:rPr>
                <w:b/>
                <w:color w:val="FFFFFF"/>
                <w:sz w:val="20"/>
              </w:rPr>
              <w:t>Deliverable</w:t>
            </w:r>
          </w:p>
        </w:tc>
        <w:tc>
          <w:tcPr>
            <w:tcW w:type="dxa" w:w="6912"/>
            <w:shd w:val="clear" w:color="auto" w:fill="0D1B2A"/>
          </w:tcPr>
          <w:p>
            <w:r>
              <w:rPr>
                <w:b/>
                <w:color w:val="FFFFFF"/>
                <w:sz w:val="20"/>
              </w:rPr>
              <w:t>Description</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sz w:val="20"/>
              </w:rPr>
              <w:t>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Architecture &amp; Design</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sz w:val="20"/>
              </w:rPr>
              <w:t>Define layers, data model, and tech decisions</w:t>
            </w:r>
          </w:p>
        </w:tc>
      </w:tr>
      <w:tr>
        <w:tc>
          <w:tcPr>
            <w:tcW w:type="dxa" w:w="1008"/>
            <w:shd w:val="clear" w:color="auto" w:fill="F2F4F8"/>
            <w:tcBorders>
              <w:top w:val="single" w:sz="4" w:space="0" w:color="CCCCCC"/>
              <w:left w:val="single" w:sz="4" w:space="0" w:color="CCCCCC"/>
              <w:bottom w:val="single" w:sz="4" w:space="0" w:color="CCCCCC"/>
              <w:right w:val="single" w:sz="4" w:space="0" w:color="CCCCCC"/>
            </w:tcBorders>
          </w:tcPr>
          <w:p>
            <w:r>
              <w:rPr>
                <w:sz w:val="20"/>
              </w:rPr>
              <w:t>2</w:t>
            </w:r>
          </w:p>
        </w:tc>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Bronze Layer</w:t>
            </w:r>
          </w:p>
        </w:tc>
        <w:tc>
          <w:tcPr>
            <w:tcW w:type="dxa" w:w="6912"/>
            <w:shd w:val="clear" w:color="auto" w:fill="F2F4F8"/>
            <w:tcBorders>
              <w:top w:val="single" w:sz="4" w:space="0" w:color="CCCCCC"/>
              <w:left w:val="single" w:sz="4" w:space="0" w:color="CCCCCC"/>
              <w:bottom w:val="single" w:sz="4" w:space="0" w:color="CCCCCC"/>
              <w:right w:val="single" w:sz="4" w:space="0" w:color="CCCCCC"/>
            </w:tcBorders>
          </w:tcPr>
          <w:p>
            <w:r>
              <w:rPr>
                <w:sz w:val="20"/>
              </w:rPr>
              <w:t>Ingest raw CSV data into Snowflake as-is</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sz w:val="20"/>
              </w:rPr>
              <w:t>3</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Silver Layer</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sz w:val="20"/>
              </w:rPr>
              <w:t>Clean, standardise, and type-cast data</w:t>
            </w:r>
          </w:p>
        </w:tc>
      </w:tr>
      <w:tr>
        <w:tc>
          <w:tcPr>
            <w:tcW w:type="dxa" w:w="1008"/>
            <w:shd w:val="clear" w:color="auto" w:fill="F2F4F8"/>
            <w:tcBorders>
              <w:top w:val="single" w:sz="4" w:space="0" w:color="CCCCCC"/>
              <w:left w:val="single" w:sz="4" w:space="0" w:color="CCCCCC"/>
              <w:bottom w:val="single" w:sz="4" w:space="0" w:color="CCCCCC"/>
              <w:right w:val="single" w:sz="4" w:space="0" w:color="CCCCCC"/>
            </w:tcBorders>
          </w:tcPr>
          <w:p>
            <w:r>
              <w:rPr>
                <w:sz w:val="20"/>
              </w:rPr>
              <w:t>4</w:t>
            </w:r>
          </w:p>
        </w:tc>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Gold Layer</w:t>
            </w:r>
          </w:p>
        </w:tc>
        <w:tc>
          <w:tcPr>
            <w:tcW w:type="dxa" w:w="6912"/>
            <w:shd w:val="clear" w:color="auto" w:fill="F2F4F8"/>
            <w:tcBorders>
              <w:top w:val="single" w:sz="4" w:space="0" w:color="CCCCCC"/>
              <w:left w:val="single" w:sz="4" w:space="0" w:color="CCCCCC"/>
              <w:bottom w:val="single" w:sz="4" w:space="0" w:color="CCCCCC"/>
              <w:right w:val="single" w:sz="4" w:space="0" w:color="CCCCCC"/>
            </w:tcBorders>
          </w:tcPr>
          <w:p>
            <w:r>
              <w:rPr>
                <w:sz w:val="20"/>
              </w:rPr>
              <w:t>Build dimensional model — facts + dimensions</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sz w:val="20"/>
              </w:rPr>
              <w:t>5</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Cortex Analyst</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sz w:val="20"/>
              </w:rPr>
              <w:t>Natural language interface on Gold layer</w:t>
            </w:r>
          </w:p>
        </w:tc>
      </w:tr>
      <w:tr>
        <w:tc>
          <w:tcPr>
            <w:tcW w:type="dxa" w:w="1008"/>
            <w:shd w:val="clear" w:color="auto" w:fill="F2F4F8"/>
            <w:tcBorders>
              <w:top w:val="single" w:sz="4" w:space="0" w:color="CCCCCC"/>
              <w:left w:val="single" w:sz="4" w:space="0" w:color="CCCCCC"/>
              <w:bottom w:val="single" w:sz="4" w:space="0" w:color="CCCCCC"/>
              <w:right w:val="single" w:sz="4" w:space="0" w:color="CCCCCC"/>
            </w:tcBorders>
          </w:tcPr>
          <w:p>
            <w:r>
              <w:rPr>
                <w:sz w:val="20"/>
              </w:rPr>
              <w:t>6</w:t>
            </w:r>
          </w:p>
        </w:tc>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Cortex Search</w:t>
            </w:r>
          </w:p>
        </w:tc>
        <w:tc>
          <w:tcPr>
            <w:tcW w:type="dxa" w:w="6912"/>
            <w:shd w:val="clear" w:color="auto" w:fill="F2F4F8"/>
            <w:tcBorders>
              <w:top w:val="single" w:sz="4" w:space="0" w:color="CCCCCC"/>
              <w:left w:val="single" w:sz="4" w:space="0" w:color="CCCCCC"/>
              <w:bottom w:val="single" w:sz="4" w:space="0" w:color="CCCCCC"/>
              <w:right w:val="single" w:sz="4" w:space="0" w:color="CCCCCC"/>
            </w:tcBorders>
          </w:tcPr>
          <w:p>
            <w:r>
              <w:rPr>
                <w:sz w:val="20"/>
              </w:rPr>
              <w:t>Semantic search across historical insights</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sz w:val="20"/>
              </w:rPr>
              <w:t>7</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Cortex ML</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sz w:val="20"/>
              </w:rPr>
              <w:t>Forecasting and anomaly detection</w:t>
            </w:r>
          </w:p>
        </w:tc>
      </w:tr>
      <w:tr>
        <w:tc>
          <w:tcPr>
            <w:tcW w:type="dxa" w:w="1008"/>
            <w:shd w:val="clear" w:color="auto" w:fill="F2F4F8"/>
            <w:tcBorders>
              <w:top w:val="single" w:sz="4" w:space="0" w:color="CCCCCC"/>
              <w:left w:val="single" w:sz="4" w:space="0" w:color="CCCCCC"/>
              <w:bottom w:val="single" w:sz="4" w:space="0" w:color="CCCCCC"/>
              <w:right w:val="single" w:sz="4" w:space="0" w:color="CCCCCC"/>
            </w:tcBorders>
          </w:tcPr>
          <w:p>
            <w:r>
              <w:rPr>
                <w:sz w:val="20"/>
              </w:rPr>
              <w:t>8</w:t>
            </w:r>
          </w:p>
        </w:tc>
        <w:tc>
          <w:tcPr>
            <w:tcW w:type="dxa" w:w="2880"/>
            <w:shd w:val="clear" w:color="auto" w:fill="F2F4F8"/>
            <w:tcBorders>
              <w:top w:val="single" w:sz="4" w:space="0" w:color="CCCCCC"/>
              <w:left w:val="single" w:sz="4" w:space="0" w:color="CCCCCC"/>
              <w:bottom w:val="single" w:sz="4" w:space="0" w:color="CCCCCC"/>
              <w:right w:val="single" w:sz="4" w:space="0" w:color="CCCCCC"/>
            </w:tcBorders>
          </w:tcPr>
          <w:p>
            <w:r>
              <w:rPr>
                <w:sz w:val="20"/>
              </w:rPr>
              <w:t>Snowflake Agent</w:t>
            </w:r>
          </w:p>
        </w:tc>
        <w:tc>
          <w:tcPr>
            <w:tcW w:type="dxa" w:w="6912"/>
            <w:shd w:val="clear" w:color="auto" w:fill="F2F4F8"/>
            <w:tcBorders>
              <w:top w:val="single" w:sz="4" w:space="0" w:color="CCCCCC"/>
              <w:left w:val="single" w:sz="4" w:space="0" w:color="CCCCCC"/>
              <w:bottom w:val="single" w:sz="4" w:space="0" w:color="CCCCCC"/>
              <w:right w:val="single" w:sz="4" w:space="0" w:color="CCCCCC"/>
            </w:tcBorders>
          </w:tcPr>
          <w:p>
            <w:r>
              <w:rPr>
                <w:sz w:val="20"/>
              </w:rPr>
              <w:t>Orchestrate all AI tools intelligently</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Pr>
          <w:p>
            <w:r>
              <w:rPr>
                <w:sz w:val="20"/>
              </w:rPr>
              <w:t>9</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20"/>
              </w:rPr>
              <w:t>Streamlit App</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sz w:val="20"/>
              </w:rPr>
              <w:t>Business user interface — all in one place</w:t>
            </w:r>
          </w:p>
        </w:tc>
      </w:tr>
    </w:tbl>
    <w:p>
      <w:pPr>
        <w:spacing w:before="280" w:after="120"/>
        <w:pBdr>
          <w:bottom w:val="single" w:sz="6" w:space="1" w:color="29B5E8"/>
        </w:pBdr>
      </w:pPr>
      <w:r>
        <w:rPr>
          <w:b/>
          <w:color w:val="0D1B2A"/>
          <w:sz w:val="44"/>
        </w:rPr>
        <w:t>11. About This Project</w:t>
      </w:r>
    </w:p>
    <w:p>
      <w:pPr>
        <w:spacing w:before="0" w:after="120"/>
        <w:jc w:val="left"/>
      </w:pPr>
      <w:r>
        <w:rPr>
          <w:b w:val="0"/>
          <w:i w:val="0"/>
          <w:color w:val="1A1A2E"/>
          <w:sz w:val="22"/>
        </w:rPr>
        <w:t>This platform is built by a BI &amp; Analytics professional with 10+ years of experience across ETL, data modelling, and reporting — now extended with modern AI capabilities on Snowflake.</w:t>
      </w:r>
    </w:p>
    <w:p>
      <w:pPr>
        <w:spacing w:before="0" w:after="120"/>
        <w:jc w:val="left"/>
      </w:pPr>
      <w:r>
        <w:rPr>
          <w:b w:val="0"/>
          <w:i w:val="0"/>
          <w:color w:val="1A1A2E"/>
          <w:sz w:val="22"/>
        </w:rPr>
        <w:t>It serves as both a working production platform and a reference architecture for how traditional BI teams can evolve into AI-powered analytics organisations.</w:t>
      </w:r>
    </w:p>
    <w:p>
      <w:pPr>
        <w:spacing w:before="400" w:after="120"/>
        <w:jc w:val="center"/>
      </w:pPr>
      <w:r>
        <w:rPr>
          <w:b w:val="0"/>
          <w:i/>
          <w:color w:val="888888"/>
          <w:sz w:val="20"/>
        </w:rPr>
        <w:t>Built with Snowflake Cortex AI  |  Streamlit  |  Star Schema Dimensional Modelling</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