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2567" w14:textId="3A938848" w:rsidR="00C9550A" w:rsidRDefault="00063A72" w:rsidP="00DE25F9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</w:t>
      </w:r>
      <w:r w:rsidR="000C6FA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3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541C9F9F" w14:textId="29D06B42" w:rsidR="00C9550A" w:rsidRDefault="00C9550A" w:rsidP="00C9550A">
      <w:pPr>
        <w:pStyle w:val="Normal1"/>
        <w:numPr>
          <w:ilvl w:val="0"/>
          <w:numId w:val="1"/>
        </w:numPr>
        <w:spacing w:after="0"/>
      </w:pPr>
      <w:r>
        <w:t>All mass experiments completed for 0.05M copper concentration.</w:t>
      </w:r>
    </w:p>
    <w:p w14:paraId="74744B68" w14:textId="48DFFDE9" w:rsidR="004E6572" w:rsidRDefault="00895016" w:rsidP="00597F69">
      <w:pPr>
        <w:pStyle w:val="Normal1"/>
        <w:numPr>
          <w:ilvl w:val="0"/>
          <w:numId w:val="1"/>
        </w:numPr>
        <w:spacing w:after="0"/>
      </w:pPr>
      <w:r>
        <w:t>0.075M copper standard prepared using 1.873g of CuSO</w:t>
      </w:r>
      <w:r>
        <w:rPr>
          <w:vertAlign w:val="subscript"/>
        </w:rPr>
        <w:t>4</w:t>
      </w:r>
      <w:r>
        <w:t>.</w:t>
      </w:r>
    </w:p>
    <w:p w14:paraId="64483E83" w14:textId="15D2E168" w:rsidR="00597F69" w:rsidRDefault="00597F69" w:rsidP="00597F69">
      <w:pPr>
        <w:pStyle w:val="Normal1"/>
        <w:numPr>
          <w:ilvl w:val="0"/>
          <w:numId w:val="1"/>
        </w:numPr>
        <w:spacing w:after="0"/>
      </w:pPr>
      <w:r>
        <w:t>Solutions prepared and kept on shaker: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97F69" w14:paraId="2779A45F" w14:textId="77777777" w:rsidTr="00597F69">
        <w:tc>
          <w:tcPr>
            <w:tcW w:w="1915" w:type="dxa"/>
          </w:tcPr>
          <w:p w14:paraId="3B8DC742" w14:textId="514F9CC1" w:rsidR="00597F69" w:rsidRDefault="00597F69" w:rsidP="00597F69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915" w:type="dxa"/>
          </w:tcPr>
          <w:p w14:paraId="4922048B" w14:textId="3D88FB90" w:rsidR="00597F69" w:rsidRDefault="00597F69" w:rsidP="00597F69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915" w:type="dxa"/>
          </w:tcPr>
          <w:p w14:paraId="391532F8" w14:textId="1C3C4B5D" w:rsidR="00597F69" w:rsidRDefault="00597F69" w:rsidP="00597F69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915" w:type="dxa"/>
          </w:tcPr>
          <w:p w14:paraId="7D513233" w14:textId="2B6F8824" w:rsidR="00597F69" w:rsidRDefault="00597F69" w:rsidP="00597F69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1916" w:type="dxa"/>
          </w:tcPr>
          <w:p w14:paraId="2EFFD420" w14:textId="7E91438B" w:rsidR="00597F69" w:rsidRDefault="00597F69" w:rsidP="00597F69">
            <w:pPr>
              <w:pStyle w:val="Normal1"/>
              <w:ind w:left="0" w:firstLine="0"/>
            </w:pPr>
            <w:r>
              <w:t>Measured Mass</w:t>
            </w:r>
          </w:p>
        </w:tc>
      </w:tr>
      <w:tr w:rsidR="00597F69" w14:paraId="2CEDB895" w14:textId="77777777" w:rsidTr="00597F69">
        <w:tc>
          <w:tcPr>
            <w:tcW w:w="1915" w:type="dxa"/>
          </w:tcPr>
          <w:p w14:paraId="00A394B3" w14:textId="4EB5AE38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1E8C55BF" w14:textId="177EC5CC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692F11">
              <w:t>7</w:t>
            </w:r>
            <w:r>
              <w:t>5</w:t>
            </w:r>
          </w:p>
        </w:tc>
        <w:tc>
          <w:tcPr>
            <w:tcW w:w="1915" w:type="dxa"/>
          </w:tcPr>
          <w:p w14:paraId="08C23524" w14:textId="3B55BD97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1D7D6043" w14:textId="0D382EE1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6DE2B2AE" w14:textId="46C9D02B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692F11">
              <w:t>75</w:t>
            </w:r>
          </w:p>
        </w:tc>
      </w:tr>
      <w:tr w:rsidR="00597F69" w14:paraId="02E1A200" w14:textId="77777777" w:rsidTr="00597F69">
        <w:tc>
          <w:tcPr>
            <w:tcW w:w="1915" w:type="dxa"/>
          </w:tcPr>
          <w:p w14:paraId="36CEF5A2" w14:textId="5C28DD91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3CB228F6" w14:textId="6B130A29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692F11">
              <w:t>7</w:t>
            </w:r>
            <w:r>
              <w:t>5</w:t>
            </w:r>
          </w:p>
        </w:tc>
        <w:tc>
          <w:tcPr>
            <w:tcW w:w="1915" w:type="dxa"/>
          </w:tcPr>
          <w:p w14:paraId="19DA286E" w14:textId="5E52B45C" w:rsidR="00597F69" w:rsidRDefault="00597F69" w:rsidP="00597F69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915" w:type="dxa"/>
          </w:tcPr>
          <w:p w14:paraId="614DCD3D" w14:textId="4D37A8E6" w:rsidR="00597F69" w:rsidRDefault="00597F69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00C78FBB" w14:textId="11556EE5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692F11">
              <w:t>7</w:t>
            </w:r>
            <w:r w:rsidR="00DA3246">
              <w:t>5</w:t>
            </w:r>
          </w:p>
        </w:tc>
      </w:tr>
      <w:tr w:rsidR="005C6A00" w14:paraId="6367D271" w14:textId="77777777" w:rsidTr="005C6A00">
        <w:tc>
          <w:tcPr>
            <w:tcW w:w="9576" w:type="dxa"/>
            <w:gridSpan w:val="5"/>
            <w:vAlign w:val="center"/>
          </w:tcPr>
          <w:p w14:paraId="471A9F8E" w14:textId="1932E08E" w:rsidR="005C6A00" w:rsidRDefault="005C6A00" w:rsidP="005C6A00">
            <w:pPr>
              <w:pStyle w:val="Normal1"/>
              <w:ind w:left="0" w:firstLine="0"/>
              <w:jc w:val="center"/>
            </w:pPr>
            <w:r>
              <w:t>0.05M copper concentration completed</w:t>
            </w:r>
          </w:p>
        </w:tc>
      </w:tr>
      <w:tr w:rsidR="00597F69" w14:paraId="3F2C1DBA" w14:textId="77777777" w:rsidTr="00597F69">
        <w:tc>
          <w:tcPr>
            <w:tcW w:w="1915" w:type="dxa"/>
          </w:tcPr>
          <w:p w14:paraId="25107BCC" w14:textId="07536FAD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0469FD04" w14:textId="6294ADC7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8C626C">
              <w:t>2</w:t>
            </w:r>
            <w:r>
              <w:t>5</w:t>
            </w:r>
          </w:p>
        </w:tc>
        <w:tc>
          <w:tcPr>
            <w:tcW w:w="1915" w:type="dxa"/>
          </w:tcPr>
          <w:p w14:paraId="711C3A9C" w14:textId="62B64234" w:rsidR="00597F69" w:rsidRDefault="008C626C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915" w:type="dxa"/>
          </w:tcPr>
          <w:p w14:paraId="6301650C" w14:textId="509C0C5C" w:rsidR="00597F69" w:rsidRDefault="00597F69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478E7505" w14:textId="247C6CE6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8C626C">
              <w:t>2</w:t>
            </w:r>
            <w:r w:rsidR="00DA3246">
              <w:t>5</w:t>
            </w:r>
          </w:p>
        </w:tc>
      </w:tr>
      <w:tr w:rsidR="00597F69" w14:paraId="0E5F9148" w14:textId="77777777" w:rsidTr="00597F69">
        <w:tc>
          <w:tcPr>
            <w:tcW w:w="1915" w:type="dxa"/>
          </w:tcPr>
          <w:p w14:paraId="5569895B" w14:textId="5C681F11" w:rsidR="00597F69" w:rsidRDefault="00DA3246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4CC7444B" w14:textId="0FA5B776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8C626C">
              <w:t>2</w:t>
            </w:r>
            <w:r>
              <w:t>5</w:t>
            </w:r>
          </w:p>
        </w:tc>
        <w:tc>
          <w:tcPr>
            <w:tcW w:w="1915" w:type="dxa"/>
          </w:tcPr>
          <w:p w14:paraId="1393E217" w14:textId="6D218808" w:rsidR="00597F69" w:rsidRDefault="008C626C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915" w:type="dxa"/>
          </w:tcPr>
          <w:p w14:paraId="2B5554F6" w14:textId="580C90A9" w:rsidR="00597F69" w:rsidRDefault="00597F69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03A93B96" w14:textId="43449BF4" w:rsidR="00597F69" w:rsidRDefault="00597F69" w:rsidP="00597F69">
            <w:pPr>
              <w:pStyle w:val="Normal1"/>
              <w:ind w:left="0" w:firstLine="0"/>
            </w:pPr>
            <w:r>
              <w:t>0.0</w:t>
            </w:r>
            <w:r w:rsidR="008C626C">
              <w:t>27</w:t>
            </w:r>
          </w:p>
        </w:tc>
      </w:tr>
      <w:tr w:rsidR="008C626C" w14:paraId="7B3B7539" w14:textId="77777777" w:rsidTr="00597F69">
        <w:tc>
          <w:tcPr>
            <w:tcW w:w="1915" w:type="dxa"/>
          </w:tcPr>
          <w:p w14:paraId="2880DD6F" w14:textId="5E96A24B" w:rsidR="008C626C" w:rsidRDefault="008C626C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72BBC263" w14:textId="68A560FA" w:rsidR="008C626C" w:rsidRDefault="008C626C" w:rsidP="00597F69">
            <w:pPr>
              <w:pStyle w:val="Normal1"/>
              <w:ind w:left="0" w:firstLine="0"/>
            </w:pPr>
            <w:r>
              <w:t>0.050</w:t>
            </w:r>
          </w:p>
        </w:tc>
        <w:tc>
          <w:tcPr>
            <w:tcW w:w="1915" w:type="dxa"/>
          </w:tcPr>
          <w:p w14:paraId="281D52B7" w14:textId="333A5CD7" w:rsidR="008C626C" w:rsidRDefault="008C626C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915" w:type="dxa"/>
          </w:tcPr>
          <w:p w14:paraId="07FB0EF9" w14:textId="375FAFA0" w:rsidR="008C626C" w:rsidRDefault="008C626C" w:rsidP="00597F69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916" w:type="dxa"/>
          </w:tcPr>
          <w:p w14:paraId="457A2DCA" w14:textId="0D5E7A24" w:rsidR="008C626C" w:rsidRDefault="008C626C" w:rsidP="00597F69">
            <w:pPr>
              <w:pStyle w:val="Normal1"/>
              <w:ind w:left="0" w:firstLine="0"/>
            </w:pPr>
            <w:r>
              <w:t>0.053</w:t>
            </w:r>
          </w:p>
        </w:tc>
      </w:tr>
      <w:tr w:rsidR="008C626C" w14:paraId="57B1C5E9" w14:textId="77777777" w:rsidTr="00597F69">
        <w:tc>
          <w:tcPr>
            <w:tcW w:w="1915" w:type="dxa"/>
          </w:tcPr>
          <w:p w14:paraId="39F39E51" w14:textId="75BB1FB9" w:rsidR="008C626C" w:rsidRDefault="008C626C" w:rsidP="00597F69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915" w:type="dxa"/>
          </w:tcPr>
          <w:p w14:paraId="520D6BBB" w14:textId="77854EA3" w:rsidR="008C626C" w:rsidRDefault="008C626C" w:rsidP="00597F69">
            <w:pPr>
              <w:pStyle w:val="Normal1"/>
              <w:ind w:left="0" w:firstLine="0"/>
            </w:pPr>
            <w:r>
              <w:t>0.050</w:t>
            </w:r>
          </w:p>
        </w:tc>
        <w:tc>
          <w:tcPr>
            <w:tcW w:w="1915" w:type="dxa"/>
          </w:tcPr>
          <w:p w14:paraId="67EACAC2" w14:textId="2F1C3BDA" w:rsidR="008C626C" w:rsidRDefault="008C626C" w:rsidP="00597F69">
            <w:pPr>
              <w:pStyle w:val="Normal1"/>
              <w:ind w:left="0" w:firstLine="0"/>
            </w:pPr>
            <w:r>
              <w:t>0.075</w:t>
            </w:r>
          </w:p>
        </w:tc>
        <w:tc>
          <w:tcPr>
            <w:tcW w:w="1915" w:type="dxa"/>
          </w:tcPr>
          <w:p w14:paraId="35716EE9" w14:textId="047EF149" w:rsidR="008C626C" w:rsidRDefault="008C626C" w:rsidP="00597F69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916" w:type="dxa"/>
          </w:tcPr>
          <w:p w14:paraId="5BB8B2D7" w14:textId="5EA29B33" w:rsidR="008C626C" w:rsidRDefault="008C626C" w:rsidP="00597F69">
            <w:pPr>
              <w:pStyle w:val="Normal1"/>
              <w:ind w:left="0" w:firstLine="0"/>
            </w:pPr>
            <w:r>
              <w:t>0.052</w:t>
            </w:r>
          </w:p>
        </w:tc>
      </w:tr>
    </w:tbl>
    <w:p w14:paraId="21624E54" w14:textId="77777777" w:rsidR="00597F69" w:rsidRDefault="00597F69" w:rsidP="00597F69">
      <w:pPr>
        <w:pStyle w:val="Normal1"/>
        <w:spacing w:after="0"/>
        <w:ind w:left="0" w:firstLine="0"/>
      </w:pPr>
    </w:p>
    <w:p w14:paraId="75814454" w14:textId="0A8CAC5F" w:rsidR="00BD6F53" w:rsidRDefault="00BD6F53" w:rsidP="00BD6F53">
      <w:pPr>
        <w:pStyle w:val="Normal1"/>
        <w:numPr>
          <w:ilvl w:val="0"/>
          <w:numId w:val="1"/>
        </w:numPr>
        <w:spacing w:after="0"/>
      </w:pPr>
      <w:r>
        <w:t>Absorbance-measured solutions: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0"/>
        <w:gridCol w:w="1522"/>
        <w:gridCol w:w="1589"/>
        <w:gridCol w:w="1640"/>
        <w:gridCol w:w="1741"/>
        <w:gridCol w:w="1454"/>
      </w:tblGrid>
      <w:tr w:rsidR="00316F8E" w14:paraId="3FE72519" w14:textId="5B7FDCC7" w:rsidTr="00316F8E">
        <w:tc>
          <w:tcPr>
            <w:tcW w:w="1630" w:type="dxa"/>
          </w:tcPr>
          <w:p w14:paraId="4D09BB50" w14:textId="37E5608D" w:rsidR="00316F8E" w:rsidRDefault="00316F8E" w:rsidP="00DA3246">
            <w:pPr>
              <w:pStyle w:val="Normal1"/>
              <w:ind w:left="0" w:firstLine="0"/>
            </w:pPr>
            <w:r>
              <w:t>Copper Conc.</w:t>
            </w:r>
          </w:p>
        </w:tc>
        <w:tc>
          <w:tcPr>
            <w:tcW w:w="1522" w:type="dxa"/>
          </w:tcPr>
          <w:p w14:paraId="157C578E" w14:textId="5106E0B0" w:rsidR="00316F8E" w:rsidRDefault="00316F8E" w:rsidP="00DA3246">
            <w:pPr>
              <w:pStyle w:val="Normal1"/>
              <w:ind w:left="0" w:firstLine="0"/>
            </w:pPr>
            <w:r>
              <w:t>pH</w:t>
            </w:r>
          </w:p>
        </w:tc>
        <w:tc>
          <w:tcPr>
            <w:tcW w:w="1589" w:type="dxa"/>
          </w:tcPr>
          <w:p w14:paraId="5E3791DD" w14:textId="77777777" w:rsidR="00316F8E" w:rsidRDefault="00316F8E" w:rsidP="00DA3246">
            <w:pPr>
              <w:pStyle w:val="Normal1"/>
              <w:ind w:left="0" w:firstLine="0"/>
            </w:pPr>
            <w:r>
              <w:t>Mass</w:t>
            </w:r>
          </w:p>
        </w:tc>
        <w:tc>
          <w:tcPr>
            <w:tcW w:w="1640" w:type="dxa"/>
          </w:tcPr>
          <w:p w14:paraId="3A1172B6" w14:textId="176CF016" w:rsidR="00316F8E" w:rsidRDefault="00316F8E" w:rsidP="00DA3246">
            <w:pPr>
              <w:pStyle w:val="Normal1"/>
              <w:ind w:left="0" w:firstLine="0"/>
            </w:pPr>
            <w:r>
              <w:t>Solvent</w:t>
            </w:r>
          </w:p>
        </w:tc>
        <w:tc>
          <w:tcPr>
            <w:tcW w:w="1741" w:type="dxa"/>
          </w:tcPr>
          <w:p w14:paraId="655627C7" w14:textId="01D7B531" w:rsidR="00316F8E" w:rsidRDefault="00316F8E" w:rsidP="00DA3246">
            <w:pPr>
              <w:pStyle w:val="Normal1"/>
              <w:ind w:left="0" w:firstLine="0"/>
            </w:pPr>
            <w:r>
              <w:t>Absorbance</w:t>
            </w:r>
          </w:p>
        </w:tc>
        <w:tc>
          <w:tcPr>
            <w:tcW w:w="1454" w:type="dxa"/>
          </w:tcPr>
          <w:p w14:paraId="5345A611" w14:textId="4B301165" w:rsidR="00316F8E" w:rsidRDefault="00E33305" w:rsidP="00DA3246">
            <w:pPr>
              <w:pStyle w:val="Normal1"/>
              <w:ind w:left="0" w:firstLine="0"/>
            </w:pPr>
            <w:r>
              <w:t>Observations</w:t>
            </w:r>
          </w:p>
        </w:tc>
      </w:tr>
      <w:tr w:rsidR="00316F8E" w14:paraId="3B258F0E" w14:textId="3200C9F8" w:rsidTr="00316F8E">
        <w:tc>
          <w:tcPr>
            <w:tcW w:w="1630" w:type="dxa"/>
          </w:tcPr>
          <w:p w14:paraId="53E29E22" w14:textId="75B5D3F1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2186FF0F" w14:textId="46593CBD" w:rsidR="00316F8E" w:rsidRDefault="00D64BE4" w:rsidP="00DA3246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589" w:type="dxa"/>
          </w:tcPr>
          <w:p w14:paraId="52F3A728" w14:textId="77777777" w:rsidR="00316F8E" w:rsidRDefault="00316F8E" w:rsidP="00DA3246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640" w:type="dxa"/>
          </w:tcPr>
          <w:p w14:paraId="758B9E8B" w14:textId="49433816" w:rsidR="00316F8E" w:rsidRDefault="00316F8E" w:rsidP="00DA3246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741" w:type="dxa"/>
          </w:tcPr>
          <w:p w14:paraId="14367D44" w14:textId="2371C344" w:rsidR="00316F8E" w:rsidRDefault="00316F8E" w:rsidP="00DA3246">
            <w:pPr>
              <w:pStyle w:val="Normal1"/>
              <w:ind w:left="0" w:firstLine="0"/>
            </w:pPr>
            <w:r>
              <w:t>0.</w:t>
            </w:r>
            <w:r w:rsidR="00D64BE4">
              <w:t>063</w:t>
            </w:r>
          </w:p>
        </w:tc>
        <w:tc>
          <w:tcPr>
            <w:tcW w:w="1454" w:type="dxa"/>
          </w:tcPr>
          <w:p w14:paraId="6351093B" w14:textId="6B93C937" w:rsidR="00316F8E" w:rsidRDefault="0035204D" w:rsidP="00DA3246">
            <w:pPr>
              <w:pStyle w:val="Normal1"/>
              <w:ind w:left="0" w:firstLine="0"/>
            </w:pPr>
            <w:r>
              <w:t>Light blue</w:t>
            </w:r>
          </w:p>
        </w:tc>
      </w:tr>
      <w:tr w:rsidR="00316F8E" w14:paraId="41B5B775" w14:textId="36DC09FB" w:rsidTr="00316F8E">
        <w:tc>
          <w:tcPr>
            <w:tcW w:w="1630" w:type="dxa"/>
          </w:tcPr>
          <w:p w14:paraId="27CB84F7" w14:textId="5B90B2C5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2AEDE9E6" w14:textId="773E1511" w:rsidR="00316F8E" w:rsidRDefault="00D64BE4" w:rsidP="00DA3246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589" w:type="dxa"/>
          </w:tcPr>
          <w:p w14:paraId="0432DFEB" w14:textId="77777777" w:rsidR="00316F8E" w:rsidRDefault="00316F8E" w:rsidP="00DA3246">
            <w:pPr>
              <w:pStyle w:val="Normal1"/>
              <w:ind w:left="0" w:firstLine="0"/>
            </w:pPr>
            <w:r>
              <w:t>0.025</w:t>
            </w:r>
          </w:p>
        </w:tc>
        <w:tc>
          <w:tcPr>
            <w:tcW w:w="1640" w:type="dxa"/>
          </w:tcPr>
          <w:p w14:paraId="38D8FD42" w14:textId="32CB7165" w:rsidR="00316F8E" w:rsidRDefault="00316F8E" w:rsidP="00DA3246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741" w:type="dxa"/>
          </w:tcPr>
          <w:p w14:paraId="376CCB6E" w14:textId="423F1A87" w:rsidR="00316F8E" w:rsidRDefault="00316F8E" w:rsidP="00DA3246">
            <w:pPr>
              <w:pStyle w:val="Normal1"/>
              <w:ind w:left="0" w:firstLine="0"/>
            </w:pPr>
            <w:r>
              <w:t>0.</w:t>
            </w:r>
            <w:r w:rsidR="00D64BE4">
              <w:t>114</w:t>
            </w:r>
          </w:p>
        </w:tc>
        <w:tc>
          <w:tcPr>
            <w:tcW w:w="1454" w:type="dxa"/>
          </w:tcPr>
          <w:p w14:paraId="3277AB17" w14:textId="3956040D" w:rsidR="00316F8E" w:rsidRDefault="0035204D" w:rsidP="00DA3246">
            <w:pPr>
              <w:pStyle w:val="Normal1"/>
              <w:ind w:left="0" w:firstLine="0"/>
            </w:pPr>
            <w:r>
              <w:t>Olive green</w:t>
            </w:r>
          </w:p>
        </w:tc>
      </w:tr>
      <w:tr w:rsidR="00316F8E" w14:paraId="07843BA0" w14:textId="33EB6115" w:rsidTr="00316F8E">
        <w:tc>
          <w:tcPr>
            <w:tcW w:w="1630" w:type="dxa"/>
          </w:tcPr>
          <w:p w14:paraId="5DA8C715" w14:textId="592710E6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734BD493" w14:textId="5B649B0A" w:rsidR="00316F8E" w:rsidRDefault="00D64BE4" w:rsidP="00DA3246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589" w:type="dxa"/>
          </w:tcPr>
          <w:p w14:paraId="3F26F9C6" w14:textId="5F2D5AAB" w:rsidR="00316F8E" w:rsidRDefault="00316F8E" w:rsidP="00DA3246">
            <w:pPr>
              <w:pStyle w:val="Normal1"/>
              <w:ind w:left="0" w:firstLine="0"/>
            </w:pPr>
            <w:r>
              <w:t>0.05</w:t>
            </w:r>
            <w:r w:rsidR="00D64BE4">
              <w:t>0</w:t>
            </w:r>
          </w:p>
        </w:tc>
        <w:tc>
          <w:tcPr>
            <w:tcW w:w="1640" w:type="dxa"/>
          </w:tcPr>
          <w:p w14:paraId="6C1D00A7" w14:textId="41C9FB85" w:rsidR="00316F8E" w:rsidRDefault="00316F8E" w:rsidP="00DA3246">
            <w:pPr>
              <w:pStyle w:val="Normal1"/>
              <w:ind w:left="0" w:firstLine="0"/>
            </w:pPr>
            <w:r>
              <w:t>Water</w:t>
            </w:r>
          </w:p>
        </w:tc>
        <w:tc>
          <w:tcPr>
            <w:tcW w:w="1741" w:type="dxa"/>
          </w:tcPr>
          <w:p w14:paraId="1B73C5DF" w14:textId="510C8C70" w:rsidR="00316F8E" w:rsidRDefault="00316F8E" w:rsidP="00DA3246">
            <w:pPr>
              <w:pStyle w:val="Normal1"/>
              <w:ind w:left="0" w:firstLine="0"/>
            </w:pPr>
            <w:r>
              <w:t>0.1</w:t>
            </w:r>
            <w:r w:rsidR="00D64BE4">
              <w:t>07</w:t>
            </w:r>
          </w:p>
        </w:tc>
        <w:tc>
          <w:tcPr>
            <w:tcW w:w="1454" w:type="dxa"/>
          </w:tcPr>
          <w:p w14:paraId="67F8204B" w14:textId="5433F76F" w:rsidR="00316F8E" w:rsidRDefault="0035204D" w:rsidP="00DA3246">
            <w:pPr>
              <w:pStyle w:val="Normal1"/>
              <w:ind w:left="0" w:firstLine="0"/>
            </w:pPr>
            <w:r>
              <w:t>Olive green</w:t>
            </w:r>
          </w:p>
        </w:tc>
      </w:tr>
      <w:tr w:rsidR="00316F8E" w14:paraId="2518A551" w14:textId="34FBC9E5" w:rsidTr="00316F8E">
        <w:tc>
          <w:tcPr>
            <w:tcW w:w="1630" w:type="dxa"/>
          </w:tcPr>
          <w:p w14:paraId="6DDB87E4" w14:textId="4AC01F85" w:rsidR="00316F8E" w:rsidRDefault="00316F8E" w:rsidP="00DA3246">
            <w:pPr>
              <w:pStyle w:val="Normal1"/>
              <w:ind w:left="0" w:firstLine="0"/>
            </w:pPr>
            <w:r>
              <w:t>0.05</w:t>
            </w:r>
          </w:p>
        </w:tc>
        <w:tc>
          <w:tcPr>
            <w:tcW w:w="1522" w:type="dxa"/>
          </w:tcPr>
          <w:p w14:paraId="76F02B22" w14:textId="417BB326" w:rsidR="00316F8E" w:rsidRDefault="00D64BE4" w:rsidP="00DA3246">
            <w:pPr>
              <w:pStyle w:val="Normal1"/>
              <w:ind w:left="0" w:firstLine="0"/>
            </w:pPr>
            <w:r>
              <w:t>2</w:t>
            </w:r>
          </w:p>
        </w:tc>
        <w:tc>
          <w:tcPr>
            <w:tcW w:w="1589" w:type="dxa"/>
          </w:tcPr>
          <w:p w14:paraId="76B3B886" w14:textId="62CE11FC" w:rsidR="00316F8E" w:rsidRDefault="00316F8E" w:rsidP="00DA3246">
            <w:pPr>
              <w:pStyle w:val="Normal1"/>
              <w:ind w:left="0" w:firstLine="0"/>
            </w:pPr>
            <w:r>
              <w:t>0.0</w:t>
            </w:r>
            <w:r w:rsidR="00D64BE4">
              <w:t>50</w:t>
            </w:r>
          </w:p>
        </w:tc>
        <w:tc>
          <w:tcPr>
            <w:tcW w:w="1640" w:type="dxa"/>
          </w:tcPr>
          <w:p w14:paraId="682EB030" w14:textId="7CC2F042" w:rsidR="00316F8E" w:rsidRDefault="00316F8E" w:rsidP="00DA3246">
            <w:pPr>
              <w:pStyle w:val="Normal1"/>
              <w:ind w:left="0" w:firstLine="0"/>
            </w:pPr>
            <w:r>
              <w:t>50% ethanol</w:t>
            </w:r>
          </w:p>
        </w:tc>
        <w:tc>
          <w:tcPr>
            <w:tcW w:w="1741" w:type="dxa"/>
          </w:tcPr>
          <w:p w14:paraId="5551D895" w14:textId="12B44D8B" w:rsidR="00316F8E" w:rsidRDefault="00316F8E" w:rsidP="00DA3246">
            <w:pPr>
              <w:pStyle w:val="Normal1"/>
              <w:ind w:left="0" w:firstLine="0"/>
            </w:pPr>
            <w:r>
              <w:t>0.</w:t>
            </w:r>
            <w:r w:rsidR="00D64BE4">
              <w:t>162</w:t>
            </w:r>
          </w:p>
        </w:tc>
        <w:tc>
          <w:tcPr>
            <w:tcW w:w="1454" w:type="dxa"/>
          </w:tcPr>
          <w:p w14:paraId="3A7D1834" w14:textId="3B8E913D" w:rsidR="00316F8E" w:rsidRDefault="0035204D" w:rsidP="00DA3246">
            <w:pPr>
              <w:pStyle w:val="Normal1"/>
              <w:ind w:left="0" w:firstLine="0"/>
            </w:pPr>
            <w:r>
              <w:t>Olive green, medium turbidity</w:t>
            </w:r>
          </w:p>
        </w:tc>
      </w:tr>
    </w:tbl>
    <w:p w14:paraId="47530121" w14:textId="77777777" w:rsidR="00BD6F53" w:rsidRPr="00DE25F9" w:rsidRDefault="00BD6F53" w:rsidP="00597F69">
      <w:pPr>
        <w:pStyle w:val="Normal1"/>
        <w:spacing w:after="0"/>
        <w:ind w:left="0" w:firstLine="0"/>
      </w:pPr>
    </w:p>
    <w:sectPr w:rsidR="00BD6F53" w:rsidRPr="00DE25F9" w:rsidSect="002D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0E3F" w14:textId="77777777" w:rsidR="002D07E2" w:rsidRPr="005A6D15" w:rsidRDefault="002D07E2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0">
    <w:p w14:paraId="019BB592" w14:textId="77777777" w:rsidR="002D07E2" w:rsidRPr="005A6D15" w:rsidRDefault="002D07E2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0B92" w14:textId="77777777" w:rsidR="002D07E2" w:rsidRPr="005A6D15" w:rsidRDefault="002D07E2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0">
    <w:p w14:paraId="31AEA154" w14:textId="77777777" w:rsidR="002D07E2" w:rsidRPr="005A6D15" w:rsidRDefault="002D07E2" w:rsidP="005A6D15">
      <w:pPr>
        <w:pStyle w:val="Normal1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667640">
    <w:abstractNumId w:val="0"/>
  </w:num>
  <w:num w:numId="2" w16cid:durableId="19029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FC"/>
    <w:rsid w:val="00063A72"/>
    <w:rsid w:val="00091177"/>
    <w:rsid w:val="000A0379"/>
    <w:rsid w:val="000A22AC"/>
    <w:rsid w:val="000C6FA8"/>
    <w:rsid w:val="0010733A"/>
    <w:rsid w:val="001276F4"/>
    <w:rsid w:val="001E0C82"/>
    <w:rsid w:val="00200A11"/>
    <w:rsid w:val="0024162D"/>
    <w:rsid w:val="002420B8"/>
    <w:rsid w:val="00272E85"/>
    <w:rsid w:val="00274899"/>
    <w:rsid w:val="00277627"/>
    <w:rsid w:val="002D07E2"/>
    <w:rsid w:val="002F47EF"/>
    <w:rsid w:val="00313800"/>
    <w:rsid w:val="00316F8E"/>
    <w:rsid w:val="0035204D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97F69"/>
    <w:rsid w:val="005A6D15"/>
    <w:rsid w:val="005C2AA7"/>
    <w:rsid w:val="005C4023"/>
    <w:rsid w:val="005C6A00"/>
    <w:rsid w:val="005C7719"/>
    <w:rsid w:val="005D6D2D"/>
    <w:rsid w:val="005E2A5C"/>
    <w:rsid w:val="005F2B2D"/>
    <w:rsid w:val="005F77EB"/>
    <w:rsid w:val="00607179"/>
    <w:rsid w:val="00654DD9"/>
    <w:rsid w:val="006719AA"/>
    <w:rsid w:val="00672E74"/>
    <w:rsid w:val="00692F11"/>
    <w:rsid w:val="006A39E9"/>
    <w:rsid w:val="006A7794"/>
    <w:rsid w:val="006E7B3A"/>
    <w:rsid w:val="00751019"/>
    <w:rsid w:val="00757C21"/>
    <w:rsid w:val="00761CE0"/>
    <w:rsid w:val="00764E59"/>
    <w:rsid w:val="00777D4F"/>
    <w:rsid w:val="00793D3D"/>
    <w:rsid w:val="0079434E"/>
    <w:rsid w:val="007B50FD"/>
    <w:rsid w:val="00817DA5"/>
    <w:rsid w:val="0083691A"/>
    <w:rsid w:val="0085379E"/>
    <w:rsid w:val="0085778B"/>
    <w:rsid w:val="00895016"/>
    <w:rsid w:val="008A5889"/>
    <w:rsid w:val="008A729A"/>
    <w:rsid w:val="008C626C"/>
    <w:rsid w:val="00904531"/>
    <w:rsid w:val="009701B5"/>
    <w:rsid w:val="009A3CFB"/>
    <w:rsid w:val="009B6ECB"/>
    <w:rsid w:val="00A815BE"/>
    <w:rsid w:val="00AA4D52"/>
    <w:rsid w:val="00AB79F9"/>
    <w:rsid w:val="00B164CD"/>
    <w:rsid w:val="00B6365B"/>
    <w:rsid w:val="00B73B9A"/>
    <w:rsid w:val="00B943D3"/>
    <w:rsid w:val="00BD2DDA"/>
    <w:rsid w:val="00BD6F53"/>
    <w:rsid w:val="00BE4B50"/>
    <w:rsid w:val="00C06607"/>
    <w:rsid w:val="00C07B5F"/>
    <w:rsid w:val="00C365BC"/>
    <w:rsid w:val="00C843B6"/>
    <w:rsid w:val="00C9550A"/>
    <w:rsid w:val="00CB108B"/>
    <w:rsid w:val="00CE15FC"/>
    <w:rsid w:val="00D113C2"/>
    <w:rsid w:val="00D64BE4"/>
    <w:rsid w:val="00D74C72"/>
    <w:rsid w:val="00DA3246"/>
    <w:rsid w:val="00DC5658"/>
    <w:rsid w:val="00DE25F9"/>
    <w:rsid w:val="00E0098A"/>
    <w:rsid w:val="00E15DFE"/>
    <w:rsid w:val="00E33305"/>
    <w:rsid w:val="00E677E1"/>
    <w:rsid w:val="00E958FF"/>
    <w:rsid w:val="00ED215D"/>
    <w:rsid w:val="00F02E97"/>
    <w:rsid w:val="00F272E7"/>
    <w:rsid w:val="00F66207"/>
    <w:rsid w:val="00F83E3D"/>
    <w:rsid w:val="00FD3F73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B3D"/>
  <w15:docId w15:val="{9246E4E0-F352-4144-9490-D35014B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608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36</cp:revision>
  <dcterms:created xsi:type="dcterms:W3CDTF">2023-12-26T12:10:00Z</dcterms:created>
  <dcterms:modified xsi:type="dcterms:W3CDTF">2024-03-24T13:47:00Z</dcterms:modified>
</cp:coreProperties>
</file>