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5FC" w:rsidRDefault="00CE15FC" w:rsidP="00CE15FC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26/12/23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CE15FC" w:rsidRDefault="00CE15FC" w:rsidP="00CE15FC">
      <w:pPr>
        <w:pStyle w:val="normal0"/>
        <w:numPr>
          <w:ilvl w:val="0"/>
          <w:numId w:val="1"/>
        </w:numPr>
        <w:spacing w:after="0"/>
      </w:pPr>
      <w:r>
        <w:t>All gaps in the data in the Excel spreadsheets have been filled in.</w:t>
      </w:r>
    </w:p>
    <w:p w:rsidR="00607179" w:rsidRDefault="00607179" w:rsidP="00CE15FC">
      <w:pPr>
        <w:pStyle w:val="normal0"/>
        <w:numPr>
          <w:ilvl w:val="0"/>
          <w:numId w:val="1"/>
        </w:numPr>
        <w:spacing w:after="0"/>
      </w:pPr>
      <w:r>
        <w:t>The test for varying copper ion concentrations has been conducted (absorbance data to be obtained on Thursday 28/12/23).</w:t>
      </w:r>
    </w:p>
    <w:p w:rsidR="005749E1" w:rsidRDefault="005749E1" w:rsidP="00CE15FC">
      <w:pPr>
        <w:pStyle w:val="normal0"/>
        <w:numPr>
          <w:ilvl w:val="0"/>
          <w:numId w:val="1"/>
        </w:numPr>
        <w:spacing w:after="0"/>
      </w:pPr>
      <w:r>
        <w:t>A copper calibration curve has been plotted.</w:t>
      </w:r>
    </w:p>
    <w:p w:rsidR="00CE15FC" w:rsidRDefault="00CE15FC" w:rsidP="00CE15FC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CE15FC" w:rsidRDefault="005749E1" w:rsidP="00CE15FC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Gap Filling Experiments</w:t>
      </w:r>
    </w:p>
    <w:p w:rsidR="005749E1" w:rsidRDefault="00761CE0" w:rsidP="004A3EE5">
      <w:pPr>
        <w:pStyle w:val="normal0"/>
        <w:numPr>
          <w:ilvl w:val="0"/>
          <w:numId w:val="1"/>
        </w:numPr>
        <w:spacing w:after="0"/>
      </w:pPr>
      <w:r>
        <w:t>The solvents were boiled for 3 minutes.</w:t>
      </w:r>
    </w:p>
    <w:p w:rsidR="004A3EE5" w:rsidRDefault="004A3EE5" w:rsidP="004A3EE5">
      <w:pPr>
        <w:pStyle w:val="normal0"/>
        <w:spacing w:after="0"/>
        <w:ind w:left="0" w:firstLine="0"/>
      </w:pPr>
    </w:p>
    <w:tbl>
      <w:tblPr>
        <w:tblStyle w:val="TableGrid"/>
        <w:tblW w:w="0" w:type="auto"/>
        <w:tblLayout w:type="fixed"/>
        <w:tblLook w:val="04A0"/>
      </w:tblPr>
      <w:tblGrid>
        <w:gridCol w:w="1915"/>
        <w:gridCol w:w="1915"/>
        <w:gridCol w:w="1915"/>
        <w:gridCol w:w="1915"/>
        <w:gridCol w:w="1916"/>
      </w:tblGrid>
      <w:tr w:rsidR="00BD2DDA" w:rsidTr="00D74C72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DDA" w:rsidRDefault="00D74C72" w:rsidP="00D74C72">
            <w:pPr>
              <w:pStyle w:val="normal0"/>
              <w:tabs>
                <w:tab w:val="left" w:pos="1140"/>
                <w:tab w:val="center" w:pos="2286"/>
                <w:tab w:val="right" w:pos="4572"/>
              </w:tabs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2DDA" w:rsidRDefault="00BD2DDA" w:rsidP="00D9785A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Mass</w:t>
            </w:r>
            <w:r w:rsidR="001E0C82">
              <w:rPr>
                <w:b/>
                <w:bCs/>
              </w:rPr>
              <w:t xml:space="preserve"> of PPP</w:t>
            </w:r>
            <w:r w:rsidR="00764E59">
              <w:rPr>
                <w:b/>
                <w:bCs/>
              </w:rPr>
              <w:t xml:space="preserve"> (g)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Pr="00385A3E" w:rsidRDefault="00385A3E" w:rsidP="00D9785A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Extraction </w:t>
            </w:r>
            <w:proofErr w:type="spellStart"/>
            <w:r>
              <w:rPr>
                <w:b/>
                <w:bCs/>
              </w:rPr>
              <w:t>Methd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Default="00385A3E" w:rsidP="00D9785A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D2DDA" w:rsidRDefault="00385A3E" w:rsidP="00D9785A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Absorbance</w:t>
            </w:r>
          </w:p>
        </w:tc>
      </w:tr>
      <w:tr w:rsidR="00BD2DDA" w:rsidTr="00761CE0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BD2DDA" w:rsidRDefault="00764E59" w:rsidP="00D9785A">
            <w:pPr>
              <w:pStyle w:val="normal0"/>
              <w:ind w:left="0" w:firstLine="0"/>
              <w:jc w:val="center"/>
            </w:pPr>
            <w:r>
              <w:t>50% Ethanol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2DDA" w:rsidRDefault="00764E59" w:rsidP="00D9785A">
            <w:pPr>
              <w:pStyle w:val="normal0"/>
              <w:ind w:left="0" w:firstLine="0"/>
              <w:jc w:val="center"/>
            </w:pPr>
            <w:r>
              <w:t>0.028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Default="00AA4D52" w:rsidP="00D9785A">
            <w:pPr>
              <w:pStyle w:val="normal0"/>
              <w:ind w:left="0" w:firstLine="0"/>
              <w:jc w:val="center"/>
            </w:pPr>
            <w:r>
              <w:t>Heating Mantle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Default="00AA4D52" w:rsidP="00D9785A">
            <w:pPr>
              <w:pStyle w:val="normal0"/>
              <w:ind w:left="0" w:firstLine="0"/>
              <w:jc w:val="center"/>
            </w:pPr>
            <w:r>
              <w:t>Olive green, high turbidity, brown ppt.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D2DDA" w:rsidRDefault="00761CE0" w:rsidP="00761CE0">
            <w:pPr>
              <w:pStyle w:val="normal0"/>
              <w:ind w:left="0" w:firstLine="0"/>
              <w:jc w:val="center"/>
            </w:pPr>
            <w:r>
              <w:t>0.205</w:t>
            </w:r>
          </w:p>
        </w:tc>
      </w:tr>
      <w:tr w:rsidR="00BD2DDA" w:rsidTr="00761CE0">
        <w:tc>
          <w:tcPr>
            <w:tcW w:w="19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DDA" w:rsidRDefault="00764E59" w:rsidP="00D9785A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2DDA" w:rsidRDefault="00BD2DDA" w:rsidP="00764E59">
            <w:pPr>
              <w:pStyle w:val="normal0"/>
              <w:ind w:left="0" w:firstLine="0"/>
              <w:jc w:val="center"/>
            </w:pPr>
            <w:r>
              <w:t>0.</w:t>
            </w:r>
            <w:r w:rsidR="00764E59">
              <w:t>048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Default="00AA4D52" w:rsidP="00D9785A">
            <w:pPr>
              <w:pStyle w:val="normal0"/>
              <w:ind w:left="0" w:firstLine="0"/>
              <w:jc w:val="center"/>
            </w:pPr>
            <w:r>
              <w:t>Heating Mantle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Default="00AA4D52" w:rsidP="00D9785A">
            <w:pPr>
              <w:pStyle w:val="normal0"/>
              <w:ind w:left="0" w:firstLine="0"/>
              <w:jc w:val="center"/>
            </w:pPr>
            <w:r>
              <w:t>Olive green,</w:t>
            </w:r>
            <w:r w:rsidR="00777D4F">
              <w:t xml:space="preserve"> medium turbidity, brown and blue ppt.</w:t>
            </w:r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D2DDA" w:rsidRDefault="00761CE0" w:rsidP="00761CE0">
            <w:pPr>
              <w:pStyle w:val="normal0"/>
              <w:ind w:left="0" w:firstLine="0"/>
              <w:jc w:val="center"/>
            </w:pPr>
            <w:r>
              <w:t>0.117</w:t>
            </w:r>
          </w:p>
        </w:tc>
      </w:tr>
      <w:tr w:rsidR="00BD2DDA" w:rsidTr="00761CE0">
        <w:trPr>
          <w:trHeight w:val="89"/>
        </w:trPr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DDA" w:rsidRDefault="00764E59" w:rsidP="00D9785A">
            <w:pPr>
              <w:pStyle w:val="normal0"/>
              <w:ind w:left="0" w:firstLine="0"/>
              <w:jc w:val="center"/>
            </w:pPr>
            <w:r>
              <w:t>Methanol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2DDA" w:rsidRDefault="00BD2DDA" w:rsidP="00764E59">
            <w:pPr>
              <w:pStyle w:val="normal0"/>
              <w:ind w:left="0" w:firstLine="0"/>
              <w:jc w:val="center"/>
            </w:pPr>
            <w:r>
              <w:t>0.</w:t>
            </w:r>
            <w:r w:rsidR="00764E59">
              <w:t>053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Default="00AA4D52" w:rsidP="00D9785A">
            <w:pPr>
              <w:pStyle w:val="normal0"/>
              <w:ind w:left="0" w:firstLine="0"/>
              <w:jc w:val="center"/>
            </w:pPr>
            <w:r>
              <w:t>Heating Mantle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Default="00777D4F" w:rsidP="00D9785A">
            <w:pPr>
              <w:pStyle w:val="normal0"/>
              <w:ind w:left="0" w:firstLine="0"/>
              <w:jc w:val="center"/>
            </w:pPr>
            <w:r>
              <w:t>Golden yellow, high turbidity, brown and blue ppt.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D2DDA" w:rsidRDefault="00761CE0" w:rsidP="00761CE0">
            <w:pPr>
              <w:pStyle w:val="normal0"/>
              <w:ind w:left="0" w:firstLine="0"/>
              <w:jc w:val="center"/>
            </w:pPr>
            <w:r>
              <w:t>0.062</w:t>
            </w:r>
          </w:p>
        </w:tc>
      </w:tr>
      <w:tr w:rsidR="00BD2DDA" w:rsidTr="00761CE0">
        <w:trPr>
          <w:trHeight w:val="170"/>
        </w:trPr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DDA" w:rsidRPr="00473ED3" w:rsidRDefault="00764E59" w:rsidP="00D9785A">
            <w:pPr>
              <w:pStyle w:val="normal0"/>
              <w:ind w:left="0" w:firstLine="0"/>
              <w:jc w:val="center"/>
              <w:rPr>
                <w:highlight w:val="yellow"/>
              </w:rPr>
            </w:pPr>
            <w:r w:rsidRPr="00764E59">
              <w:t>Methanol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2DDA" w:rsidRPr="00473ED3" w:rsidRDefault="00BD2DDA" w:rsidP="00764E59">
            <w:pPr>
              <w:pStyle w:val="normal0"/>
              <w:ind w:left="0" w:firstLine="0"/>
              <w:jc w:val="center"/>
              <w:rPr>
                <w:highlight w:val="yellow"/>
              </w:rPr>
            </w:pPr>
            <w:r w:rsidRPr="00764E59">
              <w:t>0.</w:t>
            </w:r>
            <w:r w:rsidR="00764E59">
              <w:t>057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Pr="00473ED3" w:rsidRDefault="00AA4D52" w:rsidP="00D9785A">
            <w:pPr>
              <w:pStyle w:val="normal0"/>
              <w:ind w:left="0" w:firstLine="0"/>
              <w:jc w:val="center"/>
              <w:rPr>
                <w:highlight w:val="yellow"/>
              </w:rPr>
            </w:pPr>
            <w:r w:rsidRPr="00AA4D52">
              <w:t>Magnetic Stirrer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2DDA" w:rsidRPr="00777D4F" w:rsidRDefault="00777D4F" w:rsidP="00D9785A">
            <w:pPr>
              <w:pStyle w:val="normal0"/>
              <w:ind w:left="0" w:firstLine="0"/>
              <w:jc w:val="center"/>
            </w:pPr>
            <w:r w:rsidRPr="00777D4F">
              <w:t>Golden yellow, high turbidity, brown and blue ppt.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D2DDA" w:rsidRPr="00473ED3" w:rsidRDefault="00761CE0" w:rsidP="00761CE0">
            <w:pPr>
              <w:pStyle w:val="normal0"/>
              <w:ind w:left="0" w:firstLine="0"/>
              <w:jc w:val="center"/>
              <w:rPr>
                <w:highlight w:val="yellow"/>
              </w:rPr>
            </w:pPr>
            <w:r w:rsidRPr="00761CE0">
              <w:t>0.140</w:t>
            </w:r>
          </w:p>
        </w:tc>
      </w:tr>
    </w:tbl>
    <w:p w:rsidR="004E6572" w:rsidRDefault="004E6572">
      <w:pPr>
        <w:rPr>
          <w:rFonts w:ascii="Calibri" w:eastAsia="Calibri" w:hAnsi="Calibri" w:cs="Calibri"/>
          <w:szCs w:val="22"/>
        </w:rPr>
      </w:pPr>
    </w:p>
    <w:p w:rsidR="004E6572" w:rsidRDefault="004E6572" w:rsidP="004E6572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Varying copper concentrations</w:t>
      </w:r>
    </w:p>
    <w:p w:rsidR="004E6572" w:rsidRPr="00E677E1" w:rsidRDefault="001276F4" w:rsidP="00200A11">
      <w:pPr>
        <w:pStyle w:val="normal0"/>
        <w:numPr>
          <w:ilvl w:val="0"/>
          <w:numId w:val="2"/>
        </w:numPr>
        <w:spacing w:after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t xml:space="preserve">The </w:t>
      </w:r>
      <w:r w:rsidR="00200A11">
        <w:t>data about this experiment:</w:t>
      </w:r>
    </w:p>
    <w:p w:rsidR="00E677E1" w:rsidRPr="00200A11" w:rsidRDefault="00E677E1" w:rsidP="00E677E1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677E1" w:rsidTr="00E677E1">
        <w:tc>
          <w:tcPr>
            <w:tcW w:w="3192" w:type="dxa"/>
            <w:vAlign w:val="center"/>
          </w:tcPr>
          <w:p w:rsidR="00E677E1" w:rsidRPr="00E677E1" w:rsidRDefault="00E677E1" w:rsidP="00E677E1">
            <w:pPr>
              <w:pStyle w:val="normal0"/>
              <w:ind w:left="0" w:firstLine="0"/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b/>
                <w:bCs/>
              </w:rPr>
              <w:t>Solvent</w:t>
            </w:r>
          </w:p>
        </w:tc>
        <w:tc>
          <w:tcPr>
            <w:tcW w:w="3192" w:type="dxa"/>
            <w:vAlign w:val="center"/>
          </w:tcPr>
          <w:p w:rsidR="00E677E1" w:rsidRPr="00E677E1" w:rsidRDefault="004B3018" w:rsidP="00E677E1">
            <w:pPr>
              <w:pStyle w:val="normal0"/>
              <w:ind w:left="0" w:firstLine="0"/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b/>
                <w:bCs/>
              </w:rPr>
              <w:t>Metal concentration (moldm</w:t>
            </w:r>
            <w:r w:rsidRPr="004B3018">
              <w:rPr>
                <w:b/>
                <w:bCs/>
                <w:vertAlign w:val="superscript"/>
              </w:rPr>
              <w:t>-3</w:t>
            </w:r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  <w:vAlign w:val="center"/>
          </w:tcPr>
          <w:p w:rsidR="00E677E1" w:rsidRPr="00E677E1" w:rsidRDefault="001E0C82" w:rsidP="00E677E1">
            <w:pPr>
              <w:pStyle w:val="normal0"/>
              <w:ind w:left="0" w:firstLine="0"/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b/>
                <w:bCs/>
              </w:rPr>
              <w:t>Mass of PPP (g)</w:t>
            </w:r>
          </w:p>
        </w:tc>
      </w:tr>
      <w:tr w:rsidR="00E677E1" w:rsidTr="00E677E1">
        <w:tc>
          <w:tcPr>
            <w:tcW w:w="3192" w:type="dxa"/>
          </w:tcPr>
          <w:p w:rsidR="00E677E1" w:rsidRDefault="004B3018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Water</w:t>
            </w:r>
          </w:p>
        </w:tc>
        <w:tc>
          <w:tcPr>
            <w:tcW w:w="3192" w:type="dxa"/>
          </w:tcPr>
          <w:p w:rsidR="00E677E1" w:rsidRDefault="004B3018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0.025</w:t>
            </w:r>
          </w:p>
        </w:tc>
        <w:tc>
          <w:tcPr>
            <w:tcW w:w="3192" w:type="dxa"/>
          </w:tcPr>
          <w:p w:rsidR="00E677E1" w:rsidRDefault="000A22AC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0.050</w:t>
            </w:r>
          </w:p>
        </w:tc>
      </w:tr>
      <w:tr w:rsidR="00E677E1" w:rsidTr="00E677E1">
        <w:tc>
          <w:tcPr>
            <w:tcW w:w="3192" w:type="dxa"/>
          </w:tcPr>
          <w:p w:rsidR="00E677E1" w:rsidRDefault="004B3018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Water</w:t>
            </w:r>
          </w:p>
        </w:tc>
        <w:tc>
          <w:tcPr>
            <w:tcW w:w="3192" w:type="dxa"/>
          </w:tcPr>
          <w:p w:rsidR="00E677E1" w:rsidRDefault="000A22AC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0.075</w:t>
            </w:r>
          </w:p>
        </w:tc>
        <w:tc>
          <w:tcPr>
            <w:tcW w:w="3192" w:type="dxa"/>
          </w:tcPr>
          <w:p w:rsidR="00E677E1" w:rsidRDefault="000A22AC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0.055</w:t>
            </w:r>
          </w:p>
        </w:tc>
      </w:tr>
      <w:tr w:rsidR="00E677E1" w:rsidTr="00E677E1">
        <w:tc>
          <w:tcPr>
            <w:tcW w:w="3192" w:type="dxa"/>
          </w:tcPr>
          <w:p w:rsidR="00E677E1" w:rsidRDefault="004B3018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50% Ethanol</w:t>
            </w:r>
          </w:p>
        </w:tc>
        <w:tc>
          <w:tcPr>
            <w:tcW w:w="3192" w:type="dxa"/>
          </w:tcPr>
          <w:p w:rsidR="00E677E1" w:rsidRDefault="000A22AC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0.025</w:t>
            </w:r>
          </w:p>
        </w:tc>
        <w:tc>
          <w:tcPr>
            <w:tcW w:w="3192" w:type="dxa"/>
          </w:tcPr>
          <w:p w:rsidR="00E677E1" w:rsidRDefault="000A22AC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0.053</w:t>
            </w:r>
          </w:p>
        </w:tc>
      </w:tr>
      <w:tr w:rsidR="00E677E1" w:rsidTr="00E677E1">
        <w:tc>
          <w:tcPr>
            <w:tcW w:w="3192" w:type="dxa"/>
          </w:tcPr>
          <w:p w:rsidR="00E677E1" w:rsidRDefault="004B3018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50% Ethanol</w:t>
            </w:r>
          </w:p>
        </w:tc>
        <w:tc>
          <w:tcPr>
            <w:tcW w:w="3192" w:type="dxa"/>
          </w:tcPr>
          <w:p w:rsidR="00E677E1" w:rsidRDefault="000A22AC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0.075</w:t>
            </w:r>
          </w:p>
        </w:tc>
        <w:tc>
          <w:tcPr>
            <w:tcW w:w="3192" w:type="dxa"/>
          </w:tcPr>
          <w:p w:rsidR="00E677E1" w:rsidRDefault="000A22AC" w:rsidP="004E6572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0.054</w:t>
            </w:r>
          </w:p>
        </w:tc>
      </w:tr>
    </w:tbl>
    <w:p w:rsidR="00B164CD" w:rsidRDefault="00B164CD" w:rsidP="00B164CD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B164CD" w:rsidRDefault="00B164CD" w:rsidP="00B164CD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Copper Calibration Curve</w:t>
      </w:r>
    </w:p>
    <w:p w:rsidR="00B164CD" w:rsidRDefault="00B164CD" w:rsidP="00B164CD">
      <w:pPr>
        <w:pStyle w:val="normal0"/>
        <w:numPr>
          <w:ilvl w:val="0"/>
          <w:numId w:val="2"/>
        </w:numPr>
        <w:spacing w:after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t>The data about this experiment:</w:t>
      </w:r>
    </w:p>
    <w:p w:rsidR="00B164CD" w:rsidRPr="00B164CD" w:rsidRDefault="00B164CD" w:rsidP="00B164CD">
      <w:pPr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br w:type="page"/>
      </w:r>
    </w:p>
    <w:tbl>
      <w:tblPr>
        <w:tblStyle w:val="TableGrid"/>
        <w:tblW w:w="5000" w:type="pct"/>
        <w:tblLook w:val="04A0"/>
      </w:tblPr>
      <w:tblGrid>
        <w:gridCol w:w="3192"/>
        <w:gridCol w:w="3193"/>
        <w:gridCol w:w="3191"/>
      </w:tblGrid>
      <w:tr w:rsidR="009A3CFB" w:rsidTr="009A3CFB">
        <w:tc>
          <w:tcPr>
            <w:tcW w:w="1667" w:type="pct"/>
            <w:vAlign w:val="center"/>
          </w:tcPr>
          <w:p w:rsidR="009A3CFB" w:rsidRPr="00E677E1" w:rsidRDefault="009A3CFB" w:rsidP="00D9785A">
            <w:pPr>
              <w:pStyle w:val="normal0"/>
              <w:ind w:left="0" w:firstLine="0"/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Metal concentration (moldm</w:t>
            </w:r>
            <w:r w:rsidRPr="004B3018">
              <w:rPr>
                <w:b/>
                <w:bCs/>
                <w:vertAlign w:val="superscript"/>
              </w:rPr>
              <w:t>-3</w:t>
            </w:r>
            <w:r>
              <w:rPr>
                <w:b/>
                <w:bCs/>
              </w:rPr>
              <w:t>)</w:t>
            </w:r>
          </w:p>
        </w:tc>
        <w:tc>
          <w:tcPr>
            <w:tcW w:w="1667" w:type="pct"/>
            <w:vAlign w:val="center"/>
          </w:tcPr>
          <w:p w:rsidR="009A3CFB" w:rsidRPr="00E677E1" w:rsidRDefault="009A3CFB" w:rsidP="009A3CFB">
            <w:pPr>
              <w:pStyle w:val="normal0"/>
              <w:ind w:left="0" w:firstLine="0"/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b/>
                <w:bCs/>
              </w:rPr>
              <w:t xml:space="preserve">Mass of </w:t>
            </w:r>
            <w:r>
              <w:rPr>
                <w:b/>
                <w:bCs/>
              </w:rPr>
              <w:t>CuSO</w:t>
            </w:r>
            <w:r w:rsidRPr="009A3CFB">
              <w:rPr>
                <w:b/>
                <w:bCs/>
                <w:vertAlign w:val="subscript"/>
              </w:rPr>
              <w:t>4</w:t>
            </w:r>
            <w:r>
              <w:rPr>
                <w:b/>
                <w:bCs/>
              </w:rPr>
              <w:t xml:space="preserve"> (g)</w:t>
            </w:r>
          </w:p>
        </w:tc>
        <w:tc>
          <w:tcPr>
            <w:tcW w:w="1666" w:type="pct"/>
          </w:tcPr>
          <w:p w:rsidR="009A3CFB" w:rsidRDefault="009A3CFB" w:rsidP="00D9785A">
            <w:pPr>
              <w:pStyle w:val="normal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Absorbance</w:t>
            </w:r>
          </w:p>
        </w:tc>
      </w:tr>
      <w:tr w:rsidR="009A3CFB" w:rsidTr="009A3CFB">
        <w:tc>
          <w:tcPr>
            <w:tcW w:w="1667" w:type="pct"/>
          </w:tcPr>
          <w:p w:rsidR="009A3CFB" w:rsidRDefault="009A3CFB" w:rsidP="00D9785A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</w:t>
            </w:r>
            <w:r w:rsidR="006A7794">
              <w:t>05</w:t>
            </w:r>
          </w:p>
        </w:tc>
        <w:tc>
          <w:tcPr>
            <w:tcW w:w="1667" w:type="pct"/>
          </w:tcPr>
          <w:p w:rsidR="009A3CFB" w:rsidRDefault="006A7794" w:rsidP="00D9785A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0.126</w:t>
            </w:r>
          </w:p>
        </w:tc>
        <w:tc>
          <w:tcPr>
            <w:tcW w:w="1666" w:type="pct"/>
          </w:tcPr>
          <w:p w:rsidR="009A3CFB" w:rsidRDefault="009701B5" w:rsidP="00D9785A">
            <w:pPr>
              <w:pStyle w:val="normal0"/>
              <w:ind w:left="0" w:firstLine="0"/>
            </w:pPr>
            <w:r>
              <w:t>0.028</w:t>
            </w:r>
          </w:p>
        </w:tc>
      </w:tr>
      <w:tr w:rsidR="009A3CFB" w:rsidTr="009A3CFB">
        <w:tc>
          <w:tcPr>
            <w:tcW w:w="1667" w:type="pct"/>
          </w:tcPr>
          <w:p w:rsidR="009A3CFB" w:rsidRDefault="009A3CFB" w:rsidP="00D9785A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</w:t>
            </w:r>
            <w:r w:rsidR="006A7794">
              <w:t>1</w:t>
            </w:r>
          </w:p>
        </w:tc>
        <w:tc>
          <w:tcPr>
            <w:tcW w:w="1667" w:type="pct"/>
          </w:tcPr>
          <w:p w:rsidR="009A3CFB" w:rsidRDefault="009A3CFB" w:rsidP="009701B5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</w:t>
            </w:r>
            <w:r w:rsidR="009701B5">
              <w:t>247</w:t>
            </w:r>
          </w:p>
        </w:tc>
        <w:tc>
          <w:tcPr>
            <w:tcW w:w="1666" w:type="pct"/>
          </w:tcPr>
          <w:p w:rsidR="009A3CFB" w:rsidRDefault="009701B5" w:rsidP="00D9785A">
            <w:pPr>
              <w:pStyle w:val="normal0"/>
              <w:ind w:left="0" w:firstLine="0"/>
            </w:pPr>
            <w:r>
              <w:t>0.039</w:t>
            </w:r>
          </w:p>
        </w:tc>
      </w:tr>
      <w:tr w:rsidR="009A3CFB" w:rsidTr="009A3CFB">
        <w:tc>
          <w:tcPr>
            <w:tcW w:w="1667" w:type="pct"/>
          </w:tcPr>
          <w:p w:rsidR="009A3CFB" w:rsidRDefault="009A3CFB" w:rsidP="00D9785A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0.025</w:t>
            </w:r>
          </w:p>
        </w:tc>
        <w:tc>
          <w:tcPr>
            <w:tcW w:w="1667" w:type="pct"/>
          </w:tcPr>
          <w:p w:rsidR="009A3CFB" w:rsidRDefault="009A3CFB" w:rsidP="00D9785A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</w:t>
            </w:r>
            <w:r w:rsidR="009701B5">
              <w:t>624</w:t>
            </w:r>
          </w:p>
        </w:tc>
        <w:tc>
          <w:tcPr>
            <w:tcW w:w="1666" w:type="pct"/>
          </w:tcPr>
          <w:p w:rsidR="009A3CFB" w:rsidRDefault="009701B5" w:rsidP="00D9785A">
            <w:pPr>
              <w:pStyle w:val="normal0"/>
              <w:ind w:left="0" w:firstLine="0"/>
            </w:pPr>
            <w:r>
              <w:t>0.146</w:t>
            </w:r>
          </w:p>
        </w:tc>
      </w:tr>
      <w:tr w:rsidR="006A7794" w:rsidTr="009A3CFB">
        <w:tc>
          <w:tcPr>
            <w:tcW w:w="1667" w:type="pct"/>
          </w:tcPr>
          <w:p w:rsidR="006A7794" w:rsidRDefault="006A7794" w:rsidP="00D9785A">
            <w:pPr>
              <w:pStyle w:val="normal0"/>
              <w:ind w:left="0" w:firstLine="0"/>
            </w:pPr>
            <w:r>
              <w:t>0.05</w:t>
            </w:r>
          </w:p>
        </w:tc>
        <w:tc>
          <w:tcPr>
            <w:tcW w:w="1667" w:type="pct"/>
          </w:tcPr>
          <w:p w:rsidR="006A7794" w:rsidRDefault="009701B5" w:rsidP="00D9785A">
            <w:pPr>
              <w:pStyle w:val="normal0"/>
              <w:ind w:left="0" w:firstLine="0"/>
            </w:pPr>
            <w:r>
              <w:t>1.247</w:t>
            </w:r>
          </w:p>
        </w:tc>
        <w:tc>
          <w:tcPr>
            <w:tcW w:w="1666" w:type="pct"/>
          </w:tcPr>
          <w:p w:rsidR="006A7794" w:rsidRDefault="009B6ECB" w:rsidP="00D9785A">
            <w:pPr>
              <w:pStyle w:val="normal0"/>
              <w:ind w:left="0" w:firstLine="0"/>
            </w:pPr>
            <w:r>
              <w:t>0.389</w:t>
            </w:r>
          </w:p>
        </w:tc>
      </w:tr>
      <w:tr w:rsidR="009A3CFB" w:rsidTr="009A3CFB">
        <w:tc>
          <w:tcPr>
            <w:tcW w:w="1667" w:type="pct"/>
          </w:tcPr>
          <w:p w:rsidR="009A3CFB" w:rsidRDefault="009A3CFB" w:rsidP="00D9785A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0.075</w:t>
            </w:r>
          </w:p>
        </w:tc>
        <w:tc>
          <w:tcPr>
            <w:tcW w:w="1667" w:type="pct"/>
          </w:tcPr>
          <w:p w:rsidR="009A3CFB" w:rsidRDefault="009701B5" w:rsidP="00D9785A">
            <w:pPr>
              <w:pStyle w:val="normal0"/>
              <w:ind w:left="0" w:firstLine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</w:rPr>
            </w:pPr>
            <w:r>
              <w:t>1.872</w:t>
            </w:r>
          </w:p>
        </w:tc>
        <w:tc>
          <w:tcPr>
            <w:tcW w:w="1666" w:type="pct"/>
          </w:tcPr>
          <w:p w:rsidR="009A3CFB" w:rsidRDefault="009B6ECB" w:rsidP="00D9785A">
            <w:pPr>
              <w:pStyle w:val="normal0"/>
              <w:ind w:left="0" w:firstLine="0"/>
            </w:pPr>
            <w:r>
              <w:t>0.286</w:t>
            </w:r>
          </w:p>
        </w:tc>
      </w:tr>
    </w:tbl>
    <w:p w:rsidR="004E6572" w:rsidRPr="004E6572" w:rsidRDefault="004E6572" w:rsidP="00B164CD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sectPr w:rsidR="004E6572" w:rsidRPr="004E6572" w:rsidSect="00D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5FC"/>
    <w:rsid w:val="000A22AC"/>
    <w:rsid w:val="001276F4"/>
    <w:rsid w:val="001E0C82"/>
    <w:rsid w:val="00200A11"/>
    <w:rsid w:val="00385A3E"/>
    <w:rsid w:val="004A3EE5"/>
    <w:rsid w:val="004B3018"/>
    <w:rsid w:val="004E6572"/>
    <w:rsid w:val="005749E1"/>
    <w:rsid w:val="005C2AA7"/>
    <w:rsid w:val="00607179"/>
    <w:rsid w:val="006A7794"/>
    <w:rsid w:val="00761CE0"/>
    <w:rsid w:val="00764E59"/>
    <w:rsid w:val="00777D4F"/>
    <w:rsid w:val="009701B5"/>
    <w:rsid w:val="009A3CFB"/>
    <w:rsid w:val="009B6ECB"/>
    <w:rsid w:val="00AA4D52"/>
    <w:rsid w:val="00B164CD"/>
    <w:rsid w:val="00BD2DDA"/>
    <w:rsid w:val="00CE15FC"/>
    <w:rsid w:val="00D74C72"/>
    <w:rsid w:val="00E15DFE"/>
    <w:rsid w:val="00E677E1"/>
    <w:rsid w:val="00F0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</cp:revision>
  <dcterms:created xsi:type="dcterms:W3CDTF">2023-12-26T12:10:00Z</dcterms:created>
  <dcterms:modified xsi:type="dcterms:W3CDTF">2023-12-26T12:38:00Z</dcterms:modified>
</cp:coreProperties>
</file>