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i/>
          <w:iCs/>
          <w:color w:val="555555"/>
          <w:sz w:val="20"/>
          <w:szCs w:val="20"/>
        </w:rPr>
        <w:t xml:space="preserve">Design and Culture — The Journal of the Design Studies Forum</w:t>
      </w:r>
    </w:p>
    <w:p>
      <w:pPr>
        <w:spacing w:after="200"/>
      </w:pPr>
      <w:r>
        <w:rPr>
          <w:color w:val="777777"/>
          <w:sz w:val="18"/>
          <w:szCs w:val="18"/>
        </w:rPr>
        <w:t xml:space="preserve">2026, vol. 18, n° 1, p. 111–132 · DOI : 10.1080/17547075.2025.2591967 · Article en libre accès (CC BY 4.0)</w:t>
      </w:r>
    </w:p>
    <w:p>
      <w:pPr>
        <w:pStyle w:val="Title"/>
        <w:spacing w:after="120"/>
      </w:pPr>
      <w:r>
        <w:rPr>
          <w:b/>
          <w:bCs/>
        </w:rPr>
        <w:t xml:space="preserve">L’entrelacs africain comme grilles dynamiques : de nouveaux algorithmes patrimoniaux pour les écologies de design de la diaspora</w:t>
      </w:r>
    </w:p>
    <w:p>
      <w:pPr>
        <w:spacing w:after="40"/>
      </w:pPr>
      <w:r>
        <w:rPr>
          <w:b/>
          <w:bCs/>
        </w:rPr>
        <w:t xml:space="preserve">Ron Eglash et Audrey G. Bennett</w:t>
      </w:r>
    </w:p>
    <w:p>
      <w:pPr>
        <w:spacing w:after="240"/>
      </w:pPr>
      <w:r>
        <w:rPr>
          <w:i/>
          <w:iCs/>
          <w:color w:val="888888"/>
          <w:sz w:val="18"/>
          <w:szCs w:val="18"/>
        </w:rPr>
        <w:t xml:space="preserve">[Traduction française — document de travail pour la thèse]</w:t>
      </w:r>
    </w:p>
    <w:p>
      <w:pPr>
        <w:pStyle w:val="Heading1"/>
        <w:spacing w:after="140" w:before="320"/>
      </w:pPr>
      <w:r>
        <w:rPr>
          <w:b/>
          <w:bCs/>
        </w:rPr>
        <w:t xml:space="preserve">Résumé</w:t>
      </w:r>
    </w:p>
    <w:p>
      <w:pPr>
        <w:spacing w:after="140" w:line="300"/>
        <w:jc w:val="both"/>
      </w:pPr>
      <w:r>
        <w:rPr>
          <w:b w:val="false"/>
          <w:bCs w:val="false"/>
          <w:i w:val="false"/>
          <w:iCs w:val="false"/>
        </w:rPr>
        <w:t xml:space="preserve">Les entrelacs africains sont des tracés continus « par-dessus / par-dessous » que l’on retrouve dans des motifs à travers tout le continent africain. Ils incluent les dessins </w:t>
      </w:r>
      <w:r>
        <w:rPr>
          <w:b w:val="false"/>
          <w:bCs w:val="false"/>
          <w:i/>
          <w:iCs/>
        </w:rPr>
        <w:t xml:space="preserve">lusona</w:t>
      </w:r>
      <w:r>
        <w:rPr>
          <w:b w:val="false"/>
          <w:bCs w:val="false"/>
          <w:i w:val="false"/>
          <w:iCs w:val="false"/>
        </w:rPr>
        <w:t xml:space="preserve">, les perlages liés aux Orishas, ainsi que des motifs apparentés issus du tressage des cheveux, des textiles et d’autres supports. Mais peu de recherches ont examiné les thèmes culturels communs qu’ils expriment, ou les éléments communs de leur construction formelle. Nous partons d’une méthodologie d’</w:t>
      </w:r>
      <w:r>
        <w:rPr>
          <w:b w:val="false"/>
          <w:bCs w:val="false"/>
          <w:i/>
          <w:iCs/>
        </w:rPr>
        <w:t xml:space="preserve">ethnocomputing</w:t>
      </w:r>
      <w:r>
        <w:rPr>
          <w:b w:val="false"/>
          <w:bCs w:val="false"/>
          <w:i w:val="false"/>
          <w:iCs w:val="false"/>
        </w:rPr>
        <w:t xml:space="preserve"> (ethno-informatique) pour montrer comment leur visualisation d’une « énergie vitale en circulation » s’exprime, par leurs propriétés formelles, sous la forme de « grilles dynamiques ». Dans la deuxième partie de l’article, nous examinons leur relation avec divers motifs d’entrelacs noirs dans les Amériques : les coiffures en cornrows, les </w:t>
      </w:r>
      <w:r>
        <w:rPr>
          <w:b w:val="false"/>
          <w:bCs w:val="false"/>
          <w:i/>
          <w:iCs/>
        </w:rPr>
        <w:t xml:space="preserve">vèvè</w:t>
      </w:r>
      <w:r>
        <w:rPr>
          <w:b w:val="false"/>
          <w:bCs w:val="false"/>
          <w:i w:val="false"/>
          <w:iCs w:val="false"/>
        </w:rPr>
        <w:t xml:space="preserve"> haïtiens, la capoeira brésilienne et d’autres formes qui manifestent les grilles dynamiques en tant qu’« algorithmes patrimoniaux » (heritage algorithms). La dernière partie de l’article observe comment des designers noirs contemporains ont mobilisé ces propriétés culturelles et formelles comme algorithmes patrimoniaux, en soulignant leur contribution à des pratiques émancipatrices dans ce que nous appelons les « écologies de design de la diaspora ».</w:t>
      </w:r>
    </w:p>
    <w:p>
      <w:pPr>
        <w:spacing w:after="140" w:line="300"/>
        <w:jc w:val="both"/>
      </w:pPr>
      <w:r>
        <w:rPr>
          <w:b/>
          <w:bCs/>
          <w:i w:val="false"/>
          <w:iCs w:val="false"/>
        </w:rPr>
        <w:t xml:space="preserve">Mots-clés : </w:t>
      </w:r>
      <w:r>
        <w:rPr>
          <w:b w:val="false"/>
          <w:bCs w:val="false"/>
          <w:i w:val="false"/>
          <w:iCs w:val="false"/>
        </w:rPr>
        <w:t xml:space="preserve">algorithmes patrimoniaux, grilles dynamiques, lusona, entrelacs africain, designers noirs, écologies de design de la diaspora.</w:t>
      </w:r>
    </w:p>
    <w:p>
      <w:pPr>
        <w:pStyle w:val="Heading1"/>
        <w:spacing w:after="140" w:before="320"/>
      </w:pPr>
      <w:r>
        <w:rPr>
          <w:b/>
          <w:bCs/>
        </w:rPr>
        <w:t xml:space="preserve">Introduction</w:t>
      </w:r>
    </w:p>
    <w:p>
      <w:pPr>
        <w:spacing w:after="140" w:line="300"/>
        <w:jc w:val="both"/>
      </w:pPr>
      <w:r>
        <w:t xml:space="preserve">Les créations culturelles noires ont joué un rôle déterminant dans les histoires de résistance et de survie. Elles constituent des formes de plus en plus importantes de « capital de design culturel » qui donnent du pouvoir aux communautés marginalisées (Bennett 2003 ; Berry et al. 2022). En mêlant des éléments historiques et contemporains des pratiques culturelles noires à l’IA, à l’architecture, à l’art, à la souveraineté des données, aux systèmes alimentaires, à l’interaction humain-machine (HCI), au media design et à d’autres voies, on peut contribuer aux écologies de design de la diaspora en émergence. Ces réseaux de praticien·nes, de théoricien·nes et de militant·es ont développé de nouvelles innovations pour intégrer des pratiques antiracistes et émancipatrices, humaniser la technologie, démocratiser les systèmes socio-économiques et opérer d’autres transformations qui incarnent la « justice générative ». Eglash (2016) la définit ainsi :</w:t>
      </w:r>
    </w:p>
    <w:p>
      <w:pPr>
        <w:spacing w:after="140" w:line="300"/>
        <w:ind w:left="720" w:right="400"/>
        <w:jc w:val="both"/>
      </w:pPr>
      <w:r>
        <w:rPr>
          <w:i/>
          <w:iCs/>
          <w:sz w:val="21"/>
          <w:szCs w:val="21"/>
        </w:rPr>
        <w:t xml:space="preserve">Le droit universel à générer une valeur non aliénée et à participer directement à ses bénéfices ; le droit des générateurs de valeur à créer leurs propres conditions de production ; et le droit des communautés de génération de valeur à entretenir des voies autosuffisantes pour sa circulation.</w:t>
      </w:r>
    </w:p>
    <w:p>
      <w:pPr>
        <w:spacing w:after="140" w:line="300"/>
        <w:jc w:val="both"/>
      </w:pPr>
      <w:r>
        <w:rPr>
          <w:b w:val="false"/>
          <w:bCs w:val="false"/>
          <w:i w:val="false"/>
          <w:iCs w:val="false"/>
        </w:rPr>
        <w:t xml:space="preserve">Cet article introduit une nouvelle forme de capital de design noir aux implications génératives : la tradition de l’entrelacs africain. En tant que « grilles dynamiques », l’entrelacs africain fait la médiation entre les mesures fixes des formes statiques et les relations de connectivité qui peuvent s’épanouir dans des espaces flexibles et dynamiques. Les entrelacs sont ainsi à la fois une « éco-épistémologie »</w:t>
      </w:r>
      <w:r>
        <w:rPr>
          <w:b w:val="false"/>
          <w:bCs w:val="false"/>
          <w:i w:val="false"/>
          <w:iCs w:val="false"/>
        </w:rPr>
        <w:t xml:space="preserve">¹</w:t>
      </w:r>
      <w:r>
        <w:rPr>
          <w:b w:val="false"/>
          <w:bCs w:val="false"/>
          <w:i w:val="false"/>
          <w:iCs w:val="false"/>
        </w:rPr>
        <w:t xml:space="preserve">, reflétant des pratiques patrimoniales africaines comme les économies relationnelles et l’éthique de l’</w:t>
      </w:r>
      <w:r>
        <w:rPr>
          <w:b w:val="false"/>
          <w:bCs w:val="false"/>
          <w:i/>
          <w:iCs/>
        </w:rPr>
        <w:t xml:space="preserve">ubuntu</w:t>
      </w:r>
      <w:r>
        <w:rPr>
          <w:b w:val="false"/>
          <w:bCs w:val="false"/>
          <w:i w:val="false"/>
          <w:iCs w:val="false"/>
        </w:rPr>
        <w:t xml:space="preserve">², et un puissant nouvel atout pour les pratiques de design noires, dans les domaines physiques comme virtuels.</w:t>
      </w:r>
    </w:p>
    <w:p>
      <w:pPr>
        <w:pStyle w:val="Heading1"/>
        <w:spacing w:after="140" w:before="320"/>
      </w:pPr>
      <w:r>
        <w:rPr>
          <w:b/>
          <w:bCs/>
        </w:rPr>
        <w:t xml:space="preserve">Méthodologie</w:t>
      </w:r>
    </w:p>
    <w:p>
      <w:pPr>
        <w:spacing w:after="140" w:line="300"/>
        <w:jc w:val="both"/>
      </w:pPr>
      <w:r>
        <w:t xml:space="preserve">Les approches classiques des systèmes de savoir comparés présupposent une « échelle du savoir » selon laquelle les sociétés autochtones pourraient posséder des faits détaillés sur les plantes et les écosystèmes, mais pas de concepts mathématiques ou scientifiques de haut niveau. Nous utilisons ici la structure de savoir en « buisson » (bush) issue de l’ethnocomputing, qui soutient que des compréhensions apparaissant tardivement dans certaines sociétés peuvent apparaître plus tôt dans d’autres ; chaque branche culturelle pourrait suivre une séquence différente. Cette approche a été proposée dans les premiers travaux sur la géométrie fractale comme système de savoir autochtone en Afrique (Eglash 1999), et sa méthode est décrite ci-dessous.</w:t>
      </w:r>
    </w:p>
    <w:p>
      <w:pPr>
        <w:spacing w:after="140" w:line="300"/>
        <w:jc w:val="both"/>
      </w:pPr>
      <w:r>
        <w:rPr>
          <w:b w:val="false"/>
          <w:bCs w:val="false"/>
          <w:i w:val="false"/>
          <w:iCs w:val="false"/>
        </w:rPr>
        <w:t xml:space="preserve">L’ethnocomputing part de l’observation de motifs de design. Mais plutôt que d’imposer les compréhensions des chercheur·ses, il s’appuie sur des récits ethnographiques des significations culturelles et des techniques afin de découvrir les conceptions propres du praticien quant à la construction du design, c’est-à-dire l’« algorithme patrimonial » (Bennett 2016). Par exemple, les tisserand·es de tapis navajos utilisent un motif comme « un dessus, un à côté » pour créer une diagonale. Mais il ne s’agit pas d’un angle de 45 degrés, car le fil de chaîne vertical est plus épais que le fil de trame horizontal. Babbitt, Lyles et Eglash (2012) ont constaté que les tisserand·es avaient développé leurs propres algorithmes ne correspondant pas à ceux d’une grille cartésienne, ce qui avait des conséquences sur leurs propres priorités esthétiques, spirituelles et économiques. Dans le travail ci-dessous, nous adoptons une approche similaire, en examinant non pas simplement les propriétés géométriques des motifs d’entrelacs en Afrique, mais la relation entre leurs modes de construction et les significations et motivations culturelles sous-jacentes.</w:t>
      </w:r>
    </w:p>
    <w:p>
      <w:pPr>
        <w:spacing w:after="140" w:line="300"/>
        <w:jc w:val="both"/>
      </w:pPr>
      <w:r>
        <w:rPr>
          <w:b w:val="false"/>
          <w:bCs w:val="false"/>
          <w:i w:val="false"/>
          <w:iCs w:val="false"/>
        </w:rPr>
        <w:t xml:space="preserve">Une conséquence importante de la méthode ethnocomputing est qu’elle rend l’« algorithme patrimonial » disponible pour des usages contemporains du design autochtone. Par exemple, les fractales africaines font désormais explicitement partie de l’architecture contemporaine en Éthiopie, et sont utilisées dans des logiciels d’éducation aux STEM, dans les arts noirs, la danse, la littérature et d’autres domaines (Eglash et al. 2021, 2024). Nous désignons ce type de distribution de pratiques fondées sur la culture à des fins de design par l’expression « écologies de design de la diaspora ». Étudier comment les algorithmes patrimoniaux de l’entrelacs africain pourraient servir de base à sa propre écologie de design diasporique — de la même manière que les fractales africaines l’ont fait — constituait une question de recherche importante pour cet article, et nous y reviendrons dans la dernière section.</w:t>
      </w:r>
    </w:p>
    <w:p>
      <w:pPr>
        <w:pStyle w:val="Heading1"/>
        <w:spacing w:after="140" w:before="320"/>
      </w:pPr>
      <w:r>
        <w:rPr>
          <w:b/>
          <w:bCs/>
        </w:rPr>
        <w:t xml:space="preserve">Les motifs d’entrelacs en Afrique</w:t>
      </w:r>
    </w:p>
    <w:p>
      <w:pPr>
        <w:pStyle w:val="Heading2"/>
        <w:spacing w:after="100" w:before="240"/>
      </w:pPr>
      <w:r>
        <w:rPr>
          <w:b/>
          <w:bCs/>
          <w:i w:val="false"/>
          <w:iCs w:val="false"/>
        </w:rPr>
        <w:t xml:space="preserve">Introduire les entrelacs africains par les lusona, une tradition algorithmique d’Afrique centrale</w:t>
      </w:r>
    </w:p>
    <w:p>
      <w:pPr>
        <w:spacing w:after="140" w:line="300"/>
        <w:jc w:val="both"/>
      </w:pPr>
      <w:r>
        <w:rPr>
          <w:b w:val="false"/>
          <w:bCs w:val="false"/>
          <w:i w:val="false"/>
          <w:iCs w:val="false"/>
        </w:rPr>
        <w:t xml:space="preserve">Les dessins de sable </w:t>
      </w:r>
      <w:r>
        <w:rPr>
          <w:b w:val="false"/>
          <w:bCs w:val="false"/>
          <w:i/>
          <w:iCs/>
        </w:rPr>
        <w:t xml:space="preserve">lusona</w:t>
      </w:r>
      <w:r>
        <w:rPr>
          <w:b w:val="false"/>
          <w:bCs w:val="false"/>
          <w:i w:val="false"/>
          <w:iCs w:val="false"/>
        </w:rPr>
        <w:t xml:space="preserve"> sont une pratique traditionnelle des Chokwe, Lwena, Luchazi, Lunda, Lwimbi, Songo, Ovimbundu et d’autres peuples d’Angola, du nord-ouest de la Zambie et de la République démocratique du Congo. Dans cette tradition, une ligne continue est tracée autour d’une grille de points espacés. On ne peut pas lever le stylet de la surface ni repasser deux fois sur la même ligne³. La plupart des </w:t>
      </w:r>
      <w:r>
        <w:rPr>
          <w:b w:val="false"/>
          <w:bCs w:val="false"/>
          <w:i/>
          <w:iCs/>
        </w:rPr>
        <w:t xml:space="preserve">lusona</w:t>
      </w:r>
      <w:r>
        <w:rPr>
          <w:b w:val="false"/>
          <w:bCs w:val="false"/>
          <w:i w:val="false"/>
          <w:iCs w:val="false"/>
        </w:rPr>
        <w:t xml:space="preserve"> se terminent là où elles ont commencé, une propriété dite « unicursale » en topologie. Un exemple simple de lusona unicursale est illustré dans la rangée supérieure de la Figure 1.</w:t>
      </w:r>
    </w:p>
    <w:p>
      <w:pPr>
        <w:spacing w:after="140" w:line="300"/>
        <w:jc w:val="both"/>
      </w:pPr>
      <w:r>
        <w:rPr>
          <w:b w:val="false"/>
          <w:bCs w:val="false"/>
          <w:i w:val="false"/>
          <w:iCs w:val="false"/>
        </w:rPr>
        <w:t xml:space="preserve">À mesure qu’elle est dessinée, l’artiste raconte une histoire à propos de la figure, décrivant souvent des mouvements à travers un récit tel que « le léopard poursuivant la cigogne ». On peut voir sur la Figure 1 que le tracé dans le sable crée un effet de dessus / dessous, de sorte que l’histoire du tracé est rendue visible : d’où notre terme « dynamique ». Dans certains cas, l’algorithme graphique (l’ensemble des étapes de dessin) peut être étendu en versions de plus en plus complexes, créant une « famille » d’algorithmes. La rangée supérieure de la Figure 1 montre une grille de points, une rangée de deux colonnes (1 par 2). Les deux rangées suivantes montrent comment cette famille s’étend en versions 2 par 3 et 3 par 4. Le potentiel d’expansion (toute grille de n+1 par n+2, en partant de n = 0) constitue un autre aspect de ce dynamisme.</w:t>
      </w:r>
    </w:p>
    <w:p>
      <w:pPr>
        <w:spacing w:after="140"/>
        <w:jc w:val="center"/>
      </w:pPr>
      <w:r>
        <w:rPr>
          <w:i/>
          <w:iCs/>
          <w:color w:val="888888"/>
          <w:sz w:val="18"/>
          <w:szCs w:val="18"/>
        </w:rPr>
        <w:t xml:space="preserve">[Figure 1 — Trois niveaux d’une même famille d’algorithmes lusona. Chaque niveau illustre l’algorithme permettant de tracer une ligne continue « dessus/dessous » sans lever le stylet. Image : Audrey Bennett.]</w:t>
      </w:r>
    </w:p>
    <w:p>
      <w:pPr>
        <w:spacing w:after="140" w:line="300"/>
        <w:jc w:val="both"/>
      </w:pPr>
      <w:r>
        <w:rPr>
          <w:b w:val="false"/>
          <w:bCs w:val="false"/>
          <w:i w:val="false"/>
          <w:iCs w:val="false"/>
        </w:rPr>
        <w:t xml:space="preserve">Nous invitons le lecteur à recréer les tracés de la Figure 1 au crayon et sur papier. On constate rapidement que l’on peut créer des niveaux encore plus élevés du motif, même s’il ne nous a jamais été enseigné⁴. Lorsque cela arrive, votre tête et vos mains ont commencé à apprendre le « méta-algorithme » permettant de produire tous les motifs de cette famille. Un méta-algorithme est un algorithme de niveau supérieur servant à produire d’autres algorithmes. De tels méta-algorithmes sont importants dans les traditions africaines à plusieurs égards, et peuvent constituer la force libératrice d’une écologie de design diasporique.</w:t>
      </w:r>
    </w:p>
    <w:p>
      <w:pPr>
        <w:spacing w:after="140" w:line="300"/>
        <w:jc w:val="both"/>
      </w:pPr>
      <w:r>
        <w:rPr>
          <w:b w:val="false"/>
          <w:bCs w:val="false"/>
          <w:i w:val="false"/>
          <w:iCs w:val="false"/>
        </w:rPr>
        <w:t xml:space="preserve">Les cultures traditionnelles angolaises, comme de nombreux systèmes autochtones en Afrique, accordaient une grande importance au rituel de passage à l’âge adulte. Par exemple, dans </w:t>
      </w:r>
      <w:r>
        <w:rPr>
          <w:b w:val="false"/>
          <w:bCs w:val="false"/>
          <w:i/>
          <w:iCs/>
        </w:rPr>
        <w:t xml:space="preserve">Dieu d’eau : entretiens avec Ogotemmêli</w:t>
      </w:r>
      <w:r>
        <w:rPr>
          <w:b w:val="false"/>
          <w:bCs w:val="false"/>
          <w:i w:val="false"/>
          <w:iCs w:val="false"/>
        </w:rPr>
        <w:t xml:space="preserve"> (Griaule 1965), un ancien dogon du Mali décrivait comment toute une vie d’apprentissage de ces strates de savoir — chacune servant de base au niveau suivant — était nécessaire pour commencer à saisir le déploiement de leur cosmologie récursive⁵. Pour les jeunes, cela commence de manière simple, comme le savoir nécessaire pour passer de l’enfance à l’adolescence, ou de l’adolescence à l’âge adulte. Dans le cas angolais, ce savoir était transmis en partie par ces performances narratives de lusona. Une fois adulte, on a peut-être appris le méta-algorithme, mais il existe toujours un niveau supérieur. Un·e expert·e en lusona peut devenir le créateur de nouveaux méta-niveaux, déployant de nouvelles histoires, et ainsi de suite, jusqu’au déploiement de l’univers lui-même. En faisant correspondre la série récursive d’algorithmes lusona à la récursivité de leurs vies, la société établit et renouvelle son épistémè communautaire à chaque génération (Eglash 1999).</w:t>
      </w:r>
    </w:p>
    <w:p>
      <w:pPr>
        <w:spacing w:after="140" w:line="300"/>
        <w:jc w:val="both"/>
      </w:pPr>
      <w:r>
        <w:rPr>
          <w:b w:val="false"/>
          <w:bCs w:val="false"/>
          <w:i w:val="false"/>
          <w:iCs w:val="false"/>
        </w:rPr>
        <w:t xml:space="preserve">Cette capacité générative du méta-algorithme n’est qu’un exemple de la manière dont les lusona incarnent le concept de « grille dynamique ». Kubik (1987) et Gerdes (1994) ont documenté d’autres façons dont le savoir autochtone de l’entrelacs lusona reflète une combinaison de grilles fixes et de tracés dynamiques et flexibles. Par exemple, Kubik souligne que de nombreuses lusona commencent par une grille rectangulaire, mais </w:t>
      </w:r>
      <w:r>
        <w:rPr>
          <w:b w:val="false"/>
          <w:bCs w:val="false"/>
          <w:i w:val="false"/>
          <w:iCs w:val="false"/>
        </w:rPr>
        <w:t xml:space="preserve">s’« enchaînent » ensuite avec d’autres grilles rectangulaires (Figure 2). Il note qu’un processus similaire sous-tend le caractère polyrythmique distinctif de la musique africaine. Le·la musicien·ne n’est pas lié·e au tempo de la manière rigide que tend à créer la musique occidentale, ni détaché·e de toute structure comme dans la musique d’avant-garde. La musique africaine traditionnelle émerge plutôt d’un cadre à la fois </w:t>
      </w:r>
    </w:p>
    <w:p>
      <w:pPr>
        <w:spacing w:after="140" w:line="300"/>
        <w:jc w:val="both"/>
      </w:pPr>
      <w:r>
        <w:rPr>
          <w:b w:val="false"/>
          <w:bCs w:val="false"/>
          <w:i/>
          <w:iCs/>
        </w:rPr>
        <w:t xml:space="preserve">guidé et improvisé</w:t>
      </w:r>
      <w:r>
        <w:rPr>
          <w:b w:val="false"/>
          <w:bCs w:val="false"/>
          <w:i w:val="false"/>
          <w:iCs w:val="false"/>
        </w:rPr>
        <w:t xml:space="preserve">. De façon similaire, Henry Louis Gates (2014) caractérise les structures communicatives noires — issues des cultures africaines comme afro-américaines — comme « répétition avec révision ». Ainsi, le concept social d’une tension productive entre guidage et innovation trouve une représentation symbolique dans la tension productive entre grilles statiques et mouvement dynamique.</w:t>
      </w:r>
    </w:p>
    <w:p>
      <w:pPr>
        <w:spacing w:after="140"/>
        <w:jc w:val="center"/>
      </w:pPr>
      <w:r>
        <w:rPr>
          <w:i/>
          <w:iCs/>
          <w:color w:val="888888"/>
          <w:sz w:val="18"/>
          <w:szCs w:val="18"/>
        </w:rPr>
        <w:t xml:space="preserve">[Figure 2 — Un concept de grilles superposées à gauche, et la conversion autochtone en un tracé lusona dynamique à droite. Image : Audrey Bennett, d’après un dessin de Kubik (1987).]</w:t>
      </w:r>
    </w:p>
    <w:p>
      <w:pPr>
        <w:spacing w:after="140" w:line="300"/>
        <w:jc w:val="both"/>
      </w:pPr>
      <w:r>
        <w:rPr>
          <w:b w:val="false"/>
          <w:bCs w:val="false"/>
          <w:i w:val="false"/>
          <w:iCs w:val="false"/>
        </w:rPr>
        <w:t xml:space="preserve">Nous avons tendance à mal interpréter les lusona en nous concentrant sur les figures achevées et statiques, comme s’il s’agissait simplement d’icônes d’écran sur lesquelles cliquer, chacune associée à une signification spécifique et unique. Mais nous échouerions tout autant à ne les comprendre que comme mouvement et processus. C’est dans le jeu dynamique entre les deux — la grille qui guide le mouvement et le mouvement qui transcende la grille — que vit l’épistémè culturelle. Ainsi, les mathématiques que l’Occident nomme « théorie des nœuds » présentent des parallèles avec les métaphores du nœud propres aux cultures lusona pour décrire le flux de la « force vitale » :</w:t>
      </w:r>
    </w:p>
    <w:p>
      <w:pPr>
        <w:spacing w:after="140" w:line="300"/>
        <w:ind w:left="720" w:right="400"/>
        <w:jc w:val="both"/>
      </w:pPr>
      <w:r>
        <w:rPr>
          <w:i/>
          <w:iCs/>
          <w:sz w:val="21"/>
          <w:szCs w:val="21"/>
        </w:rPr>
        <w:t xml:space="preserve">Les métaphores luunda omniprésentes du nœud (lukat, puund, munuung), du nouage, du liage, de l’entrelacement, de l’interjonction et de la connexion sont au cœur de nombreux rituels luunda destinés à accroître la vie, la vitalité, la fertilité et le bien-être. (De Boeck 1993, 180)</w:t>
      </w:r>
    </w:p>
    <w:p>
      <w:pPr>
        <w:pStyle w:val="Heading2"/>
        <w:spacing w:after="100" w:before="240"/>
      </w:pPr>
      <w:r>
        <w:rPr>
          <w:b/>
          <w:bCs/>
          <w:i w:val="false"/>
          <w:iCs w:val="false"/>
        </w:rPr>
        <w:t xml:space="preserve">Les motifs d’entrelacs yorubas</w:t>
      </w:r>
    </w:p>
    <w:p>
      <w:pPr>
        <w:spacing w:after="140" w:line="300"/>
        <w:jc w:val="both"/>
      </w:pPr>
      <w:r>
        <w:rPr>
          <w:b w:val="false"/>
          <w:bCs w:val="false"/>
          <w:i w:val="false"/>
          <w:iCs w:val="false"/>
        </w:rPr>
        <w:t xml:space="preserve">Dans les régions s’étendant du Nigeria au Bénin, les pratiques centrées sur les Orishas — des entités qui font la médiation entre les humains et le divin — se manifestent dans une diversité de pratiques spirituelles. Elles sont particulièrement importantes dans le contexte des contributions culturelles africaines aux Amériques, en raison de leur présence dans les religions diasporiques. Par exemple, dans la pratique du candomblé au Brésil, on les nomme « orixás ». Ils apparaissent aussi dans la Santería cubaine, le Vaudou haïtien et des pratiques apparentées, sous des noms et des associations variés.</w:t>
      </w:r>
    </w:p>
    <w:p>
      <w:pPr>
        <w:spacing w:after="140" w:line="300"/>
        <w:jc w:val="both"/>
      </w:pPr>
      <w:r>
        <w:rPr>
          <w:b w:val="false"/>
          <w:bCs w:val="false"/>
          <w:i w:val="false"/>
          <w:iCs w:val="false"/>
        </w:rPr>
        <w:t xml:space="preserve">La Figure 3 montre des motifs d’entrelacs dans le perlage de l’art sacré yoruba associé aux divinités Orisha au Nigeria. Parce que ces motifs sont complexes tout en formant une boucle fermée (« unicursale »), ils sont souvent interprétés comme symbolisant un pouvoir spirituel, l’</w:t>
      </w:r>
      <w:r>
        <w:rPr>
          <w:b w:val="false"/>
          <w:bCs w:val="false"/>
          <w:i/>
          <w:iCs/>
        </w:rPr>
        <w:t xml:space="preserve">ase</w:t>
      </w:r>
      <w:r>
        <w:rPr>
          <w:b w:val="false"/>
          <w:bCs w:val="false"/>
          <w:i w:val="false"/>
          <w:iCs w:val="false"/>
        </w:rPr>
        <w:t xml:space="preserve">, qui serpente à travers toute chose et pourtant ne finit jamais. « Les entrelacs sur les panneaux perlés proclament que le passé, le présent et le futur font partie du cycle infini de l’existence : naissance, vie, départ, retour » (Drewal et Mason 1998, 18). Cela est parfois décrit plus précisément en lien avec les ancêtres. Par exemple, Annenberg (2009) décrit l’entrelacs sur la couronne cérémonielle yoruba (</w:t>
      </w:r>
      <w:r>
        <w:rPr>
          <w:b w:val="false"/>
          <w:bCs w:val="false"/>
          <w:i/>
          <w:iCs/>
        </w:rPr>
        <w:t xml:space="preserve">adènlà</w:t>
      </w:r>
      <w:r>
        <w:rPr>
          <w:b w:val="false"/>
          <w:bCs w:val="false"/>
          <w:i w:val="false"/>
          <w:iCs w:val="false"/>
        </w:rPr>
        <w:t xml:space="preserve">) comme « la chaîne des ancêtres divins et la continuité de la vie ». Dans d’autres contextes, les motifs d’entrelacs représentent des aspects apparentés de la vitalité et de la force vitale. Par exemple, des motifs d’entrelacs en 2D comme en 3D apparaissent dans les masques des cérémonies Gelede yorubas (Figure 4). Drewal (1979) décrit comment ces motifs de masques imitent souvent les foulards de tête et les tresses textiles des femmes.</w:t>
      </w:r>
    </w:p>
    <w:p>
      <w:pPr>
        <w:spacing w:after="140"/>
        <w:jc w:val="center"/>
      </w:pPr>
      <w:r>
        <w:rPr>
          <w:i/>
          <w:iCs/>
          <w:color w:val="888888"/>
          <w:sz w:val="18"/>
          <w:szCs w:val="18"/>
        </w:rPr>
        <w:t xml:space="preserve">[Figure 3 — Entrelacs dans l’art sacré yoruba (Nigeria). À gauche : statue Ibeji (galerie Lenard Kahan). Au centre : tunique d’occasions rituelles (Princeton University Art Museum). À droite : couronne royale (adènlà) (Annenberg Foundation).]</w:t>
      </w:r>
    </w:p>
    <w:p>
      <w:pPr>
        <w:spacing w:after="140" w:line="300"/>
        <w:jc w:val="both"/>
      </w:pPr>
      <w:r>
        <w:rPr>
          <w:b w:val="false"/>
          <w:bCs w:val="false"/>
          <w:i w:val="false"/>
          <w:iCs w:val="false"/>
        </w:rPr>
        <w:t xml:space="preserve">À travers ces motifs et d’autres, « les interprètes extériorisent les natures vitales des hommes et des femmes, projetant une image de force vitale, l’</w:t>
      </w:r>
      <w:r>
        <w:rPr>
          <w:b w:val="false"/>
          <w:bCs w:val="false"/>
          <w:i/>
          <w:iCs/>
        </w:rPr>
        <w:t xml:space="preserve">ase</w:t>
      </w:r>
      <w:r>
        <w:rPr>
          <w:b w:val="false"/>
          <w:bCs w:val="false"/>
          <w:i w:val="false"/>
          <w:iCs w:val="false"/>
        </w:rPr>
        <w:t xml:space="preserve"> » dans les masques, costumes et danses Gelede (Drewal 1979, 227). Ainsi, à travers de nombreux aspects de l’art yoruba, les formes d’entrelacs sont associées à un concept d’énergie spirituelle et à la circulation de la force vitale. Comme noté précédemment, cela correspond étroitement au concept de justice générative. Eglash (2016) explique ce concept par </w:t>
      </w:r>
      <w:r>
        <w:rPr>
          <w:b w:val="false"/>
          <w:bCs w:val="false"/>
          <w:i w:val="false"/>
          <w:iCs w:val="false"/>
        </w:rPr>
        <w:t xml:space="preserve">l’exemple de l’agriculture biologique. L’agriculture industrielle extrait la valeur du sol, provoquant un appauvrissement en nutriments. Dans l’agriculture biologique, les déchets sont compostés et rendus au sol, préservant la capacité régénératrice des organismes du sol. Cela illustre la régénération de la valeur écologique. De la même manière, l’extraction de la valeur-travail, comme l’a formulé Marx, épuise la capacité des travailleur·ses à se régénérer. Les entreprises détenues par les travailleur·ses, les coopératives et les collectifs (une application courante de l’</w:t>
      </w:r>
    </w:p>
    <w:p>
      <w:pPr>
        <w:spacing w:after="140" w:line="300"/>
        <w:jc w:val="both"/>
      </w:pPr>
      <w:r>
        <w:rPr>
          <w:b w:val="false"/>
          <w:bCs w:val="false"/>
          <w:i/>
          <w:iCs/>
        </w:rPr>
        <w:t xml:space="preserve">ubuntu</w:t>
      </w:r>
      <w:r>
        <w:rPr>
          <w:b w:val="false"/>
          <w:bCs w:val="false"/>
          <w:i w:val="false"/>
          <w:iCs w:val="false"/>
        </w:rPr>
        <w:t xml:space="preserve">) et des structures similaires peuvent restituer la valeur-travail aux travailleur·ses, créant un travail moins aliéné. La valeur sociale peut elle aussi être extraite : par exemple, les réseaux sociaux colonisent nos réseaux humains d’ami·es, de famille et de communication plus large. Des systèmes en ligne comme Wikipédia et des systèmes physiques comme le développement communautaire permettent à la société de régénérer ses propres formes de valeur. En somme : la justice générative (inspirée à l’origine des systèmes autochtones) stipule que la valeur écologique, la valeur-travail et la valeur sociale devraient toutes circuler depuis leur source de génération pour y revenir.</w:t>
      </w:r>
    </w:p>
    <w:p>
      <w:pPr>
        <w:spacing w:after="140" w:line="300"/>
        <w:jc w:val="both"/>
      </w:pPr>
      <w:r>
        <w:rPr>
          <w:b w:val="false"/>
          <w:bCs w:val="false"/>
          <w:i w:val="false"/>
          <w:iCs w:val="false"/>
        </w:rPr>
        <w:t xml:space="preserve">L’un des défis de l’humanité est que de nombreux aspects de notre psychologie — l’avidité, l’égoïsme, la peur, l’obéissance aveugle aux systèmes d’autorité ou de propriété — peuvent rompre ces cycles de régénération par l’extraction de valeur, créant des formes d’aliénation (par exemple la société de consommation) qui nous enferment dans des systèmes d’exploitation. Les motifs d’entrelacs africains fonctionnent comme une sorte de technologie de visualisation destinée à maintenir des concepts comme l’entraide et la force vitale partagée au centre des pratiques conceptuelles et matérielles de la communauté, s’opposant ainsi à nos pires instincts et tendances sociales.</w:t>
      </w:r>
    </w:p>
    <w:p>
      <w:pPr>
        <w:pStyle w:val="Heading2"/>
        <w:spacing w:after="100" w:before="240"/>
      </w:pPr>
      <w:r>
        <w:rPr>
          <w:b/>
          <w:bCs/>
          <w:i w:val="false"/>
          <w:iCs w:val="false"/>
        </w:rPr>
        <w:t xml:space="preserve">Autres exemples à travers les géographies et les époques africaines</w:t>
      </w:r>
    </w:p>
    <w:p>
      <w:pPr>
        <w:spacing w:after="140"/>
        <w:jc w:val="center"/>
      </w:pPr>
      <w:r>
        <w:rPr>
          <w:i/>
          <w:iCs/>
          <w:color w:val="888888"/>
          <w:sz w:val="18"/>
          <w:szCs w:val="18"/>
        </w:rPr>
        <w:t xml:space="preserve">[Figure 4 — Entrelacs figurant des foulards de tête et des tresses dans des masques de cérémonie Gelede. À gauche : Smithsonian. Au centre : Babatunde Lawal. À droite : Newfields Museum.]</w:t>
      </w:r>
    </w:p>
    <w:p>
      <w:pPr>
        <w:spacing w:after="140" w:line="300"/>
        <w:jc w:val="both"/>
      </w:pPr>
      <w:r>
        <w:rPr>
          <w:b w:val="false"/>
          <w:bCs w:val="false"/>
          <w:i w:val="false"/>
          <w:iCs w:val="false"/>
        </w:rPr>
        <w:t xml:space="preserve">Que devons-nous faire de la grande variété des pratiques d’entrelacs à travers le continent africain, et loin dans son histoire ? On trouve des motifs d’entrelacs dans les cornes d’ivoire kongo du XVIᵉ siècle, dans les céramiques « à décor tressé » d’Afrique centrale remontant au XIIᵉ siècle, dans les églises éthiopiennes taillées dans la roche remontant au XIᵉ siècle, dans le bronze du IXᵉ siècle du moyen Niger, dans les céramiques du VIᵉ siècle de la région de la Cross River au Nigeria, et </w:t>
      </w:r>
      <w:r>
        <w:rPr>
          <w:b w:val="false"/>
          <w:bCs w:val="false"/>
          <w:i w:val="false"/>
          <w:iCs w:val="false"/>
        </w:rPr>
        <w:t xml:space="preserve">peut-être dans des exemples encore plus anciens (Cranshof et al. 2018 ; Lagamma 2021 ; Slogar 2007). Cette variété correspond en partie aux façons extrêmement diverses de prévenir l’aliénation de la valeur et d’en assurer plutôt la circulation, à travers les traditions africaines.</w:t>
      </w:r>
    </w:p>
    <w:p>
      <w:pPr>
        <w:spacing w:after="140" w:line="300"/>
        <w:jc w:val="both"/>
      </w:pPr>
      <w:r>
        <w:rPr>
          <w:b w:val="false"/>
          <w:bCs w:val="false"/>
          <w:i w:val="false"/>
          <w:iCs w:val="false"/>
        </w:rPr>
        <w:t xml:space="preserve">Par exemple, le symbole adinkra ghanéen </w:t>
      </w:r>
      <w:r>
        <w:rPr>
          <w:b w:val="false"/>
          <w:bCs w:val="false"/>
          <w:i/>
          <w:iCs/>
        </w:rPr>
        <w:t xml:space="preserve">Mpatapo</w:t>
      </w:r>
      <w:r>
        <w:rPr>
          <w:b w:val="false"/>
          <w:bCs w:val="false"/>
          <w:i w:val="false"/>
          <w:iCs w:val="false"/>
        </w:rPr>
        <w:t xml:space="preserve">, « le nœud de la réconciliation », est une version très directe et littérale de cette correspondance. Les visualisations yorubas de l’</w:t>
      </w:r>
      <w:r>
        <w:rPr>
          <w:b w:val="false"/>
          <w:bCs w:val="false"/>
          <w:i/>
          <w:iCs/>
        </w:rPr>
        <w:t xml:space="preserve">ase</w:t>
      </w:r>
      <w:r>
        <w:rPr>
          <w:b w:val="false"/>
          <w:bCs w:val="false"/>
          <w:i w:val="false"/>
          <w:iCs w:val="false"/>
        </w:rPr>
        <w:t xml:space="preserve">, la force vitale spirituelle, sont plus abstraites et indirectes. Les abondantes métaphores du nouage associées aux cultures pratiquant la lusona, comme évoqué plus haut, se situent quelque part entre les deux. Le concept d’ubuntu ou d’« entraide » apparaît sous une grande variété de formes, d’iconographies et de supports en Afrique : on pourrait même défendre l’idée que le célèbre motif musical d’« appel et réponse » constitue un entrelacs acoustique, et de fait le lien entre les pratiques musicales africaines et l’entraide est bien établi (Rudge 2019). Autrement dit, si l’on considère l’ensemble des systèmes autochtones de justice générative et l’ensemble des visualisations autochtones de l’entrelacs, on observera non pas une réduction à une signification unique, mais plutôt une expansion au sein de familles de ressemblance. Nous allons maintenant nous tourner vers ces familles de ressemblance dans les formes d’entrelacs créées par les descendant·es d’Africain·es dans les Amériques, et examiner les formes génératives de résistance, d’épanouissement et d’innovation qui ont émergé de ces « algorithmes patrimoniaux » (Bennett 2016).</w:t>
      </w:r>
    </w:p>
    <w:p>
      <w:pPr>
        <w:pStyle w:val="Heading1"/>
        <w:spacing w:after="140" w:before="320"/>
      </w:pPr>
      <w:r>
        <w:rPr>
          <w:b/>
          <w:bCs/>
        </w:rPr>
        <w:t xml:space="preserve">L’entrelacs dans la diaspora africaine</w:t>
      </w:r>
    </w:p>
    <w:p>
      <w:pPr>
        <w:pStyle w:val="Heading2"/>
        <w:spacing w:after="100" w:before="240"/>
      </w:pPr>
      <w:r>
        <w:rPr>
          <w:b/>
          <w:bCs/>
          <w:i w:val="false"/>
          <w:iCs w:val="false"/>
        </w:rPr>
        <w:t xml:space="preserve">L’entrelacs dans le tressage afro-américain</w:t>
      </w:r>
    </w:p>
    <w:p>
      <w:pPr>
        <w:spacing w:after="140" w:line="300"/>
        <w:jc w:val="both"/>
      </w:pPr>
      <w:r>
        <w:rPr>
          <w:b w:val="false"/>
          <w:bCs w:val="false"/>
          <w:i w:val="false"/>
          <w:iCs w:val="false"/>
        </w:rPr>
        <w:t xml:space="preserve">Le lien avec les motifs de tresses et de foulards de tête des femmes dans les motifs Gelede de la Figure 4 est particulièrement poignant au regard de l’histoire de l’esclavage américain, où le prétexte du rasage des cheveux pour des raisons « sanitaires » faisait partie de l’assaut contre la personne. Depuis lors, la reconquête de la tradition capillaire noire est devenue un point de cristallisation de la résistance et de l’émancipation, de l’esclavage à la Reconstruction, en passant par les lois Jim Crow, les droits civiques, jusqu’aux droits du travail contemporains des tresseur·ses professionnel·les, inscrits dans le CROWN Act⁶ (Donahoo et Smith 2022 ; Johnson 2016). Les motifs d’entrelacs dans le tressage afro-américain contemporain (Figure 5) sont ainsi à la fois des innovations contemporaines et, simultanément, des ponts vers des formes profondes de patrimoine culturel, artistique, spirituel et mathématique.</w:t>
      </w:r>
    </w:p>
    <w:p>
      <w:pPr>
        <w:pStyle w:val="Heading2"/>
        <w:spacing w:after="100" w:before="240"/>
      </w:pPr>
      <w:r>
        <w:rPr>
          <w:b/>
          <w:bCs/>
          <w:i w:val="false"/>
          <w:iCs w:val="false"/>
        </w:rPr>
        <w:t xml:space="preserve">Les motifs de cours balayées dans les jardins afro-américains</w:t>
      </w:r>
    </w:p>
    <w:p>
      <w:pPr>
        <w:spacing w:after="140" w:line="300"/>
        <w:jc w:val="both"/>
      </w:pPr>
      <w:r>
        <w:rPr>
          <w:b w:val="false"/>
          <w:bCs w:val="false"/>
          <w:i w:val="false"/>
          <w:iCs w:val="false"/>
        </w:rPr>
        <w:t xml:space="preserve">Les traditions de jardinage afro-américaines dans le Sud des États-Unis comprennent des espaces où le balayage maintient la terre nue. Les observations de cette tradition de la « cour balayée » (swept yard) remontent à 1725, et elles sont souvent mises en relation avec des traditions similaires en Afrique de l’Ouest (Fesler 2010). Brown (1999) cite l’une de ses informatrices (née en 1930), qui décrivait l’insistance de sa grand-mère à créer des motifs spécifiques dans la terre balayée de la cour. Joachim (1999, 74) a interviewé des Afro-Américain·es </w:t>
      </w:r>
      <w:r>
        <w:rPr>
          <w:b w:val="false"/>
          <w:bCs w:val="false"/>
          <w:i w:val="false"/>
          <w:iCs w:val="false"/>
        </w:rPr>
        <w:t xml:space="preserve">au Texas, et a recueilli des témoignages similaires de deux de ses informatrices : la grand-mère « faisait des petits cercles et d’autres choses » dans la terre balayée. Bien que personne n’ait mentionné un style lusona spécifique de dessin en ligne continue, les parallèles sont intrigants. Le cas le plus célèbre de dessin de motifs dans les cours balayées afro-américaines provient de </w:t>
      </w:r>
    </w:p>
    <w:p>
      <w:pPr>
        <w:spacing w:after="140" w:line="300"/>
        <w:jc w:val="both"/>
      </w:pPr>
      <w:r>
        <w:rPr>
          <w:b w:val="false"/>
          <w:bCs w:val="false"/>
          <w:i/>
          <w:iCs/>
        </w:rPr>
        <w:t xml:space="preserve">Je sais pourquoi chante l’oiseau en cage</w:t>
      </w:r>
      <w:r>
        <w:rPr>
          <w:b w:val="false"/>
          <w:bCs w:val="false"/>
          <w:i w:val="false"/>
          <w:iCs w:val="false"/>
        </w:rPr>
        <w:t xml:space="preserve"> de Maya Angelou. Elle décrit les motifs qu’ils dessinaient dans la terre nue de la cour, leur destruction lors d’une rencontre potentiellement dangereuse avec des jeunes filles blanches, et la régénération du motif selon un tracé récursif :</w:t>
      </w:r>
    </w:p>
    <w:p>
      <w:pPr>
        <w:spacing w:after="140" w:line="300"/>
        <w:ind w:left="720" w:right="400"/>
        <w:jc w:val="both"/>
      </w:pPr>
      <w:r>
        <w:rPr>
          <w:i/>
          <w:iCs/>
          <w:sz w:val="21"/>
          <w:szCs w:val="21"/>
        </w:rPr>
        <w:t xml:space="preserve">J’ai rapporté le râteau dans la cour de devant. Les empreintes de pas maculées étaient faciles à effacer. J’ai travaillé longtemps sur mon nouveau dessin et j’ai posé le râteau derrière la marmite à lessive. En revenant dans le magasin, j’ai pris la main de Momma et nous sommes sorties toutes les deux regarder le motif. C’était un grand cœur avec, à l’intérieur, une multitude de cœurs de plus en plus petits, et, perçant depuis le bord extérieur jusqu’au plus petit cœur, une flèche. Momma a dit : « Sœurette, c’est vraiment joli ». (Angelou 1969, 26)</w:t>
      </w:r>
    </w:p>
    <w:p>
      <w:pPr>
        <w:pStyle w:val="Heading2"/>
        <w:spacing w:after="100" w:before="240"/>
      </w:pPr>
      <w:r>
        <w:rPr>
          <w:b/>
          <w:bCs/>
          <w:i w:val="false"/>
          <w:iCs w:val="false"/>
        </w:rPr>
        <w:t xml:space="preserve">Les vèvè haïtiens comme grilles dynamiques</w:t>
      </w:r>
    </w:p>
    <w:p>
      <w:pPr>
        <w:spacing w:after="140"/>
        <w:jc w:val="center"/>
      </w:pPr>
      <w:r>
        <w:rPr>
          <w:i/>
          <w:iCs/>
          <w:color w:val="888888"/>
          <w:sz w:val="18"/>
          <w:szCs w:val="18"/>
        </w:rPr>
        <w:t xml:space="preserve">[Figure 5 — Motifs d’entrelacs dans le tressage afro-américain contemporain.]</w:t>
      </w:r>
    </w:p>
    <w:p>
      <w:pPr>
        <w:spacing w:after="140" w:line="300"/>
        <w:jc w:val="both"/>
      </w:pPr>
      <w:r>
        <w:rPr>
          <w:b w:val="false"/>
          <w:bCs w:val="false"/>
          <w:i w:val="false"/>
          <w:iCs w:val="false"/>
        </w:rPr>
        <w:t xml:space="preserve">La Figure 6 est un diagramme </w:t>
      </w:r>
      <w:r>
        <w:rPr>
          <w:b w:val="false"/>
          <w:bCs w:val="false"/>
          <w:i/>
          <w:iCs/>
        </w:rPr>
        <w:t xml:space="preserve">vèvè</w:t>
      </w:r>
      <w:r>
        <w:rPr>
          <w:b w:val="false"/>
          <w:bCs w:val="false"/>
          <w:i w:val="false"/>
          <w:iCs w:val="false"/>
        </w:rPr>
        <w:t xml:space="preserve"> de l’île caribéenne d’Haïti. Tous les vèvè ne correspondent pas bien à des motifs d’entrelacs, mais beaucoup ont une base de type grille. On perçoit immédiatement la similarité avec les motifs d’entrelacs yorubas du Nigeria comme avec les motifs d’entrelacs lusona d’Angola. Plutôt que gravés dans la terre, ils sont dessinés en versant de la poudre. Cette poudre est généralement un mélange de farine de maïs et de cendre, symbolisant le cycle génératif entre la vie et la mort.</w:t>
      </w:r>
    </w:p>
    <w:p>
      <w:pPr>
        <w:spacing w:after="140" w:line="300"/>
        <w:jc w:val="both"/>
      </w:pPr>
      <w:r>
        <w:rPr>
          <w:b w:val="false"/>
          <w:bCs w:val="false"/>
          <w:i w:val="false"/>
          <w:iCs w:val="false"/>
        </w:rPr>
        <w:t xml:space="preserve">Notez que sur l’image extraite de la vidéo de la Figure 6, la colonne de formes en X la plus à droite a été remplie, et le prêtre commence maintenant la colonne suivante. Chaque X est créé avec une seule poignée de poudre. Une fois terminé, le prêtre reprend une poignée. Ce dessin rythmique est souvent accompagné de musique, soulignant le lien entre les processus dans l’espace et le temps.</w:t>
      </w:r>
    </w:p>
    <w:p>
      <w:pPr>
        <w:spacing w:after="140" w:line="300"/>
        <w:jc w:val="both"/>
      </w:pPr>
      <w:r>
        <w:rPr>
          <w:b w:val="false"/>
          <w:bCs w:val="false"/>
          <w:i w:val="false"/>
          <w:iCs w:val="false"/>
        </w:rPr>
        <w:t xml:space="preserve">Contrairement aux lusona, l’accent n’est pas mis sur une seule ligne continue. Mais, comme pour les lusona, le mouvement, la trajectoire et le rythme sont aussi importants que l’artefact achevé. Benjamin Hebblethwaite, relevant les nombreux esprits ou « lwa » du Vodou, décrit cette improvisation dans sa description de la vidéo de la pratique rituelle mentionnée plus haut :</w:t>
      </w:r>
    </w:p>
    <w:p>
      <w:pPr>
        <w:spacing w:after="140" w:line="300"/>
        <w:ind w:left="720" w:right="400"/>
        <w:jc w:val="both"/>
      </w:pPr>
      <w:r>
        <w:rPr>
          <w:i/>
          <w:iCs/>
          <w:sz w:val="21"/>
          <w:szCs w:val="21"/>
        </w:rPr>
        <w:t xml:space="preserve">Les vèvè sont en partie improvisés, mais ils manifestent aussi un ensemble traditionnel de motifs correspondant aux nombreux lwa du Vodou, ainsi qu’un vocabulaire esthétique commun de décoration ornée, caractérisé par des étoiles élaborées et des volutes en filigrane. Bien qu’il existe certaines images canoniques correspondant aux divers lwa, il n’existe pas de liste définitive ou exhaustive des vèvè. (Hebblethwaite 2016)</w:t>
      </w:r>
    </w:p>
    <w:p>
      <w:pPr>
        <w:spacing w:after="140" w:line="300"/>
        <w:jc w:val="both"/>
      </w:pPr>
      <w:r>
        <w:rPr>
          <w:b w:val="false"/>
          <w:bCs w:val="false"/>
          <w:i w:val="false"/>
          <w:iCs w:val="false"/>
        </w:rPr>
        <w:t xml:space="preserve">En somme : malgré le passage de tracés unicursaux gravés dans la terre à des dépôts de poudre rythmiques et itératifs, les </w:t>
      </w:r>
      <w:r>
        <w:rPr>
          <w:b w:val="false"/>
          <w:bCs w:val="false"/>
          <w:i/>
          <w:iCs/>
        </w:rPr>
        <w:t xml:space="preserve">vèvè</w:t>
      </w:r>
      <w:r>
        <w:rPr>
          <w:b w:val="false"/>
          <w:bCs w:val="false"/>
          <w:i w:val="false"/>
          <w:iCs w:val="false"/>
        </w:rPr>
        <w:t xml:space="preserve"> appartiennent tout autant que les autres exemples que nous mettons en avant à la famille des pratiques de grilles dynamiques.</w:t>
      </w:r>
    </w:p>
    <w:p>
      <w:pPr>
        <w:pStyle w:val="Heading2"/>
        <w:spacing w:after="100" w:before="240"/>
      </w:pPr>
      <w:r>
        <w:rPr>
          <w:b/>
          <w:bCs/>
          <w:i w:val="false"/>
          <w:iCs w:val="false"/>
        </w:rPr>
        <w:t xml:space="preserve">La capoeira au Brésil</w:t>
      </w:r>
    </w:p>
    <w:p>
      <w:pPr>
        <w:spacing w:after="140" w:line="300"/>
        <w:jc w:val="both"/>
      </w:pPr>
      <w:r>
        <w:rPr>
          <w:b w:val="false"/>
          <w:bCs w:val="false"/>
          <w:i w:val="false"/>
          <w:iCs w:val="false"/>
        </w:rPr>
        <w:t xml:space="preserve">Les motifs d’entrelacs africains apparaissent aussi dans l’iconographie brésilienne. L’une des possibilités les plus intéressantes de cette connexion se trouve dans la performance d’art martial qu’est la capoeira. Selon la tradition, la capoeira serait née comme un moyen de dissimuler l’entraînement à la révolte servile sous couvert de danse. Elle est mentionnée pour la première fois dans des documents coloniaux sous le nom de </w:t>
      </w:r>
      <w:r>
        <w:rPr>
          <w:b w:val="false"/>
          <w:bCs w:val="false"/>
          <w:i/>
          <w:iCs/>
        </w:rPr>
        <w:t xml:space="preserve">capoeiragem</w:t>
      </w:r>
      <w:r>
        <w:rPr>
          <w:b w:val="false"/>
          <w:bCs w:val="false"/>
          <w:i w:val="false"/>
          <w:iCs w:val="false"/>
        </w:rPr>
        <w:t xml:space="preserve"> en 1789, comme « le plus grave des crimes ». Mais elle a aussi maintenu des aspects spirituels et culturels du patrimoine africain. La tradition orale lui attribue une origine angolaise, et de fait une fusion similaire de danse et d’art martial s’y trouve, appelée </w:t>
      </w:r>
      <w:r>
        <w:rPr>
          <w:b w:val="false"/>
          <w:bCs w:val="false"/>
          <w:i/>
          <w:iCs/>
        </w:rPr>
        <w:t xml:space="preserve">N’golo</w:t>
      </w:r>
      <w:r>
        <w:rPr>
          <w:b w:val="false"/>
          <w:bCs w:val="false"/>
          <w:i w:val="false"/>
          <w:iCs w:val="false"/>
        </w:rPr>
        <w:t xml:space="preserve">. L’Angola est également le lieu central des pratiques lusona. Dossar (1992) relève cette connexion en décrivant comment la capoeira au Brésil et le N’golo en Angola intègrent tous deux la musique, le rythme et le dessin sur le sol avant l’initiation de la performance (</w:t>
      </w:r>
      <w:r>
        <w:rPr>
          <w:b w:val="false"/>
          <w:bCs w:val="false"/>
          <w:i/>
          <w:iCs/>
        </w:rPr>
        <w:t xml:space="preserve">saída</w:t>
      </w:r>
      <w:r>
        <w:rPr>
          <w:b w:val="false"/>
          <w:bCs w:val="false"/>
          <w:i w:val="false"/>
          <w:iCs w:val="false"/>
        </w:rPr>
        <w:t xml:space="preserve">).</w:t>
      </w:r>
    </w:p>
    <w:p>
      <w:pPr>
        <w:spacing w:after="140" w:line="300"/>
        <w:jc w:val="both"/>
      </w:pPr>
      <w:r>
        <w:rPr>
          <w:b w:val="false"/>
          <w:bCs w:val="false"/>
          <w:i w:val="false"/>
          <w:iCs w:val="false"/>
        </w:rPr>
        <w:t xml:space="preserve">Mais la principale structure d’entrelacs, tant dans la capoeira brésilienne que dans le N’golo angolais, n’est pas le tracé de sable en 2D. C’est plutôt le tracé du mouvement corporel en 3D, dans lequel deux ou plusieurs interprètes créent des entrelacements acrobatiques constamment au bord de la collision, tout en parvenant à contourner les points d’intersection potentiels. Annika Kreikenbohm (2017), astrophysicienne et designer d’information, a capté certains de ces motifs d’entrelacs corporels de la capoeira en fixant des LED aux interprètes et en recourant à la photographie à longue exposition (Figure 7).</w:t>
      </w:r>
    </w:p>
    <w:p>
      <w:pPr>
        <w:spacing w:after="140"/>
        <w:jc w:val="center"/>
      </w:pPr>
      <w:r>
        <w:rPr>
          <w:i/>
          <w:iCs/>
          <w:color w:val="888888"/>
          <w:sz w:val="18"/>
          <w:szCs w:val="18"/>
        </w:rPr>
        <w:t xml:space="preserve">[Figure 6 — À gauche : vèvè d’Ogoun. À droite : photo extraite d’une vidéo de rituel de dessin, montrant un autre vèvè de type grille, à Croix-des-Bouquets, Haïti, août 2013. Avec l’autorisation de Benjamin Hebblethwaite et des Archives de la religion et de la culture haïtiennes.]</w:t>
      </w:r>
    </w:p>
    <w:p>
      <w:pPr>
        <w:pStyle w:val="Heading1"/>
        <w:spacing w:after="140" w:before="320"/>
      </w:pPr>
      <w:r>
        <w:rPr>
          <w:b/>
          <w:bCs/>
        </w:rPr>
        <w:t xml:space="preserve">L’entrelacs africain dans les écologies de design de la diaspora : tisser ensemble dimensions formelles et sociales</w:t>
      </w:r>
    </w:p>
    <w:p>
      <w:pPr>
        <w:spacing w:after="140" w:line="300"/>
        <w:jc w:val="both"/>
      </w:pPr>
      <w:r>
        <w:rPr>
          <w:b w:val="false"/>
          <w:bCs w:val="false"/>
          <w:i w:val="false"/>
          <w:iCs w:val="false"/>
        </w:rPr>
        <w:t xml:space="preserve">Le contraste entre les aspects formels de l’entrelacs africain — le système de savoir autochtone composé de ces algorithmes patrimoniaux dans leur contexte culturel — et leurs équivalents dans les mathématiques et l’informatique occidentales est saisissant. En Occident, le but de la découverte des propriétés sous-jacentes est souvent de créer un universel singulier qui peut désormais être délocalisé : ce que Latour (1990) appelait l’« immuable mobile » de la science. Cette délocalisation, dans le contexte de pratiques d’exploitation, permet de le sécuriser exclusivement par des droits de propriété intellectuelle, de créer des métriques pour optimiser l’extraction de valeur des travailleur·ses et de la nature, de policer les frontières conceptuelles et matérielles qui s’écartent de ses limites, et ainsi de suite.</w:t>
      </w:r>
    </w:p>
    <w:p>
      <w:pPr>
        <w:spacing w:after="140"/>
        <w:jc w:val="center"/>
      </w:pPr>
      <w:r>
        <w:rPr>
          <w:i/>
          <w:iCs/>
          <w:color w:val="888888"/>
          <w:sz w:val="18"/>
          <w:szCs w:val="18"/>
        </w:rPr>
        <w:t xml:space="preserve">[Figure 7 — Photographie à longue exposition utilisée pour tracer les trajectoires d’entrelacs du mouvement de la capoeira. Image : Annika Kreikenbohm.]</w:t>
      </w:r>
    </w:p>
    <w:p>
      <w:pPr>
        <w:spacing w:after="140" w:line="300"/>
        <w:jc w:val="both"/>
      </w:pPr>
      <w:r>
        <w:rPr>
          <w:b w:val="false"/>
          <w:bCs w:val="false"/>
          <w:i w:val="false"/>
          <w:iCs w:val="false"/>
        </w:rPr>
        <w:t xml:space="preserve">Il existe occasionnellement des cas occidentaux, comme l’open source, qui défient cette tendance et se concentrent plutôt sur des universels au service de la justice générative. Inversement, il existe occasionnellement des cas africains où un entrelacs est exclusivement réservé comme style royal (Schildkrout et Keim 1990), tout comme les Européens réserveraient des droits de propriété intellectuelle. Ces exceptions existent parce qu’il y a des exceptions à la tendance générale vers les économies capitalistes en Occident et les économies ubuntu en Afrique. Les exceptions pour les sociétés occidentales sont les moments relativement rares où des réseaux non hiérarchiques ont permis des pratiques génératives, comme on l’a vu avec les anciennes formes d’entretien des communs villageois, les réseaux de hackers plus récents qui ont développé l’open source, etc. Les exceptions pour les sociétés africaines traditionnelles sont les moments relativement rares où l’</w:t>
      </w:r>
      <w:r>
        <w:rPr>
          <w:b w:val="false"/>
          <w:bCs w:val="false"/>
          <w:i w:val="false"/>
          <w:iCs w:val="false"/>
        </w:rPr>
        <w:t xml:space="preserve">accumulation de richesses a permis une stratification de classe à l’occidentale, comme on l’a vu avec le royaume du Bénin.</w:t>
      </w:r>
    </w:p>
    <w:p>
      <w:pPr>
        <w:spacing w:after="140" w:line="300"/>
        <w:jc w:val="both"/>
      </w:pPr>
      <w:r>
        <w:rPr>
          <w:b w:val="false"/>
          <w:bCs w:val="false"/>
          <w:i w:val="false"/>
          <w:iCs w:val="false"/>
        </w:rPr>
        <w:t xml:space="preserve">Mais dans la grande majorité des sociétés africaines traditionnelles, les principes abstraits symbolisés par des géométries évoquant les cycles d’échange, la récursivité, la symétrie, la mutualité et d’autres propriétés étroitement liées à l’« anti-extraction » étaient des motifs décoratifs courants. Nous l’avons vu avec les métaphores du nœud des cultures lusona, l’</w:t>
      </w:r>
      <w:r>
        <w:rPr>
          <w:b w:val="false"/>
          <w:bCs w:val="false"/>
          <w:i/>
          <w:iCs/>
        </w:rPr>
        <w:t xml:space="preserve">ase</w:t>
      </w:r>
      <w:r>
        <w:rPr>
          <w:b w:val="false"/>
          <w:bCs w:val="false"/>
          <w:i w:val="false"/>
          <w:iCs w:val="false"/>
        </w:rPr>
        <w:t xml:space="preserve"> yoruba, le symbole mpatapo ghanéen et d’autres exemples. Les tracés « unicursaux » qui se terminent là où ils ont commencé sont des rappels des conventions sociales qui garantissent que la valeur circule plutôt qu’elle ne soit aliénée (Eglash 2016 ; Gowdy 1999 ; Ignatov 2016).</w:t>
      </w:r>
    </w:p>
    <w:p>
      <w:pPr>
        <w:spacing w:after="140" w:line="300"/>
        <w:jc w:val="both"/>
      </w:pPr>
      <w:r>
        <w:rPr>
          <w:b w:val="false"/>
          <w:bCs w:val="false"/>
          <w:i w:val="false"/>
          <w:iCs w:val="false"/>
        </w:rPr>
        <w:t xml:space="preserve">Nous proposons un terme général pour réunir les formalismes autochtones dans le cadre de designs orientés vers des formes plus justes et durables : « écologies de design de la diaspora ». Cette terminologie s’inspire de l’anthologie </w:t>
      </w:r>
      <w:r>
        <w:rPr>
          <w:b w:val="false"/>
          <w:bCs w:val="false"/>
          <w:i/>
          <w:iCs/>
        </w:rPr>
        <w:t xml:space="preserve">Black Ecologies</w:t>
      </w:r>
      <w:r>
        <w:rPr>
          <w:b w:val="false"/>
          <w:bCs w:val="false"/>
          <w:i w:val="false"/>
          <w:iCs w:val="false"/>
        </w:rPr>
        <w:t xml:space="preserve"> d’Imani Jacqueline Brown (2023), qui réunissait des artistes et designers examinant les intersections des pratiques autochtones, des modes de résistance et de la résonance environnementale, en particulier en relation avec les fractales africaines. Des approches connexes pourraient inclure la synthèse émergente entre les traditions foncières afro-américaines et l’agriculture régénératrice aux États-Unis (Layman et Civita 2022), ainsi que des cadres plus abstraits comme l’ethno-biomathématique (Eglash 2023). Les écologies de design de la diaspora englobent ainsi l’application des arts culturels, des traditions régénératrices autochtones et de leurs formalismes correspondants (computationnels, architecturaux, systémiques, etc.) à des pratiques de design pour tous les environnements — bâtis comme naturels, urbains comme ruraux — et à toutes les échelles, du micro-produit aux économies mondiales, en utilisant des principes africains pour des modes de vie égalitaires, démocratiques et durables.</w:t>
      </w:r>
    </w:p>
    <w:p>
      <w:pPr>
        <w:spacing w:after="140" w:line="300"/>
        <w:jc w:val="both"/>
      </w:pPr>
      <w:r>
        <w:rPr>
          <w:b w:val="false"/>
          <w:bCs w:val="false"/>
          <w:i w:val="false"/>
          <w:iCs w:val="false"/>
        </w:rPr>
        <w:t xml:space="preserve">L’un des défis des écologies de design de la diaspora consiste à négocier un chemin entre acceptation et résistance. Par exemple, l’« acceptation » est souvent présente dans la rhétorique autour du premier film </w:t>
      </w:r>
      <w:r>
        <w:rPr>
          <w:b w:val="false"/>
          <w:bCs w:val="false"/>
          <w:i/>
          <w:iCs/>
        </w:rPr>
        <w:t xml:space="preserve">Black Panther</w:t>
      </w:r>
      <w:r>
        <w:rPr>
          <w:b w:val="false"/>
          <w:bCs w:val="false"/>
          <w:i w:val="false"/>
          <w:iCs w:val="false"/>
        </w:rPr>
        <w:t xml:space="preserve"> de Marvel, qui a rapporté 1,3 milliard de dollars en un mois. Ce n’est pas nécessairement une mauvaise chose : nous devrions à juste titre célébrer le génie de Ruth Carter, la costumière ; de Chadwick Boseman, l’acteur disparu ; et d’autres, dans leurs réalisations. L’entrelacs africain a joué un rôle pour l’un comme pour l’autre : considérons par exemple la transition entre l’entrelacs traditionnel sur la chemise (Figure 8, à gauche) et sa réinterprétation créative sur le costume (à droite). Le salut wakandais dans cette image est aussi une forme d’entrelacs, dans son élément le plus élémentaire : le croisement dessus-dessous des bras, qui imagine un flux revenant sur le corps lui-même. Selon Stewart (2021, 60), le réalisateur Ryan Coogler a déclaré que le geste des bras croisés provient en partie de formes sculpturales ouest-africaines⁷.</w:t>
      </w:r>
    </w:p>
    <w:p>
      <w:pPr>
        <w:spacing w:after="140" w:line="300"/>
        <w:jc w:val="both"/>
      </w:pPr>
      <w:r>
        <w:rPr>
          <w:b w:val="false"/>
          <w:bCs w:val="false"/>
          <w:i w:val="false"/>
          <w:iCs w:val="false"/>
        </w:rPr>
        <w:t xml:space="preserve">En revanche, très peu de ces 1,3 milliard de dollars de richesse ont été transférés aux communautés noires : à cet égard, l’acceptation pour quelques-un·es signifie l’appropriation du capital culturel du plus grand nombre. Si la résistance avait pris la forme d’un boycott — un refus de participer à la production du film </w:t>
      </w:r>
      <w:r>
        <w:rPr>
          <w:b w:val="false"/>
          <w:bCs w:val="false"/>
          <w:i/>
          <w:iCs/>
        </w:rPr>
        <w:t xml:space="preserve">Black Panther</w:t>
      </w:r>
      <w:r>
        <w:rPr>
          <w:b w:val="false"/>
          <w:bCs w:val="false"/>
          <w:i w:val="false"/>
          <w:iCs w:val="false"/>
        </w:rPr>
        <w:t xml:space="preserve"> —, cela n’aurait guère contribué à l’empêcher. Heureusement, nous n’avons pas à choisir entre ces issues inacceptables : nous pouvons tisser une trajectoire de développement entre elles.</w:t>
      </w:r>
    </w:p>
    <w:p>
      <w:pPr>
        <w:spacing w:after="140"/>
        <w:jc w:val="center"/>
      </w:pPr>
      <w:r>
        <w:rPr>
          <w:i/>
          <w:iCs/>
          <w:color w:val="888888"/>
          <w:sz w:val="18"/>
          <w:szCs w:val="18"/>
        </w:rPr>
        <w:t xml:space="preserve">[Figure 8 — L’entrelacs dans le design des costumes de Black Panther : traditionnel à gauche, réinterprétation à droite.]</w:t>
      </w:r>
    </w:p>
    <w:p>
      <w:pPr>
        <w:spacing w:after="140" w:line="300"/>
        <w:jc w:val="both"/>
      </w:pPr>
      <w:r>
        <w:rPr>
          <w:b w:val="false"/>
          <w:bCs w:val="false"/>
          <w:i w:val="false"/>
          <w:iCs w:val="false"/>
        </w:rPr>
        <w:t xml:space="preserve">Les structures d’entrelacs offrent des outils conceptuels qui évitent le choix forcé entre l’acceptation pour quelques-un·es ou la résistance vaine du plus grand nombre. Elles offrent une occasion passionnante d’explorer le pouvoir transformateur des écologies de design de la diaspora : un moyen par lequel les pratiques et les éco-épistémologies du côté autochtone — nées au service des économies égalitaires de l’ubuntu et des pratiques traditionnelles de durabilité — peuvent être entrelacées avec la puissance des formalismes occidentaux. Les applications pourraient inclure des outils pour surveiller, modifier et soutenir les flux de valeur, de sorte qu’ils évoluent vers des économies égalitaires et durables. Ces outils pourraient comprendre des visualisations inspirées de l’entrelacs pour renforcer l’intuition et la compréhension, ou des métriques topologiques (par exemple l’exposant d’échelle des distributions de degré des réseaux de chaînes de valeur) pour l’analyse quantitative. Dans la littérature sur la justice générative, nous évoquons souvent des flux circulaires pour la valeur écologique, la valeur-travail et la valeur sociale. Il est utile de les distinguer comme outil analytique, mais la conception d’économies communautaires réelles, égalitaires et durables exigera des moyens de créer des flux tressés, entrelacés ou autrement enlacés entre ces trois domaines (Eglash et al. 2021, 2024).</w:t>
      </w:r>
    </w:p>
    <w:p>
      <w:pPr>
        <w:spacing w:after="140" w:line="300"/>
        <w:jc w:val="both"/>
      </w:pPr>
      <w:r>
        <w:rPr>
          <w:b w:val="false"/>
          <w:bCs w:val="false"/>
          <w:i w:val="false"/>
          <w:iCs w:val="false"/>
        </w:rPr>
        <w:t xml:space="preserve">Des interprétations moins abstraites et davantage fondées sur la pratique pourraient inclure des structures biomatérielles qui tirent leur résistance mécanique de fibres entrelacées, préservant ainsi la durabilité écologique dans une production à faible empreinte carbone et des produits compostables ; ou de nouveaux designs de mailles en fibre de carbone renforçant la solidité ; ou encore de nouvelles configurations architecturales et formes de design urbain mieux au service des besoins des citoyen·nes. Cela va à l’encontre de la tendance de la production industrielle de masse, où les fibres complexes des entités biologiques sont des défauts à réduire en substances uniformes. De telles industries, en somme, dévorent tout et rejettent des plastiques toxiques et non durables. Mais de nouvelles technologies telles que </w:t>
      </w:r>
      <w:r>
        <w:rPr>
          <w:b w:val="false"/>
          <w:bCs w:val="false"/>
          <w:i w:val="false"/>
          <w:iCs w:val="false"/>
        </w:rPr>
        <w:t xml:space="preserve">l’IA peuvent désormais aborder les états naturels des substances moins comme des défauts imprévisibles que comme des structures entrelacées riches en information. Cela offre une base pour intégrer les processus biologiques dans des architectures vivantes, et pour limiter les produits et procédés à ceux qui sont des partenaires non aliénés de flux écologiques unicursaux.</w:t>
      </w:r>
    </w:p>
    <w:p>
      <w:pPr>
        <w:pStyle w:val="Heading2"/>
        <w:spacing w:after="100" w:before="240"/>
      </w:pPr>
      <w:r>
        <w:rPr>
          <w:b/>
          <w:bCs/>
          <w:i w:val="false"/>
          <w:iCs w:val="false"/>
        </w:rPr>
        <w:t xml:space="preserve">Les chercheur·ses noir·es de l’entrelacs aujourd’hui</w:t>
      </w:r>
    </w:p>
    <w:p>
      <w:pPr>
        <w:spacing w:after="140" w:line="300"/>
        <w:jc w:val="both"/>
      </w:pPr>
      <w:r>
        <w:rPr>
          <w:b w:val="false"/>
          <w:bCs w:val="false"/>
          <w:i w:val="false"/>
          <w:iCs w:val="false"/>
        </w:rPr>
        <w:t xml:space="preserve">Le « design agentique » (agentic design) de Bennett dans le processus visuel pour l’éducation, la « série dreadlock » de Felecia Davis en architecture, et le « routage de solidarité » de Kwame Robinson pour la livraison électronique gérée par les travailleur·ses sont autant d’exemples où des concepts d’entrelacs contemporains émergent à l’intersection de l’informatique, de la tradition culturelle et des écologies de design de la diaspora.</w:t>
      </w:r>
    </w:p>
    <w:p>
      <w:pPr>
        <w:spacing w:after="140" w:line="300"/>
        <w:jc w:val="both"/>
      </w:pPr>
      <w:r>
        <w:rPr>
          <w:b w:val="false"/>
          <w:bCs w:val="false"/>
          <w:i w:val="false"/>
          <w:iCs w:val="false"/>
        </w:rPr>
        <w:t xml:space="preserve">Bennett, professeure d’art et de design à la Stamps School de l’Université du Michigan, décrit son travail — impliquant des modèles computationnels pour l’éducation aux STEM, la conception d’interfaces graphiques (GUI) en interaction humain-machine, et d’autres domaines — comme du « design agentique » (Bennett 2021 ; 2023). Elle souligne comment cette approche laisse place au processus d’émergence, se développant organiquement de bas en haut, plutôt que d’imposer la « vision d’un designer maître » de haut en bas. À l’image de l’entrelacs acoustique de l’appel et réponse, le·la designer crée un contexte dans lequel l’usager·ère n’est ni abandonné·e à lui/elle-même, ni contraint·e à des comportements restreints, mais plutôt guidé·e tandis qu’il/elle co-crée une trajectoire de design. L’entrelacs africain originel et ses cousins diasporiques figurent parmi les « algorithmes patrimoniaux » dont elle s’inspire. La Figure 9 montre certains des processus d’éducation aux STEM qu’elle a utilisés dans le développement des CSDT (« Culturally Situated Design Tools », outils de design culturellement situés) pour permettre </w:t>
      </w:r>
      <w:r>
        <w:rPr>
          <w:b w:val="false"/>
          <w:bCs w:val="false"/>
          <w:i w:val="false"/>
          <w:iCs w:val="false"/>
        </w:rPr>
        <w:t xml:space="preserve">aux élèves des explorations computationnelles des traditions d’entrelacs classiques et vernaculaires, allant des tressages hexastrip en rotin aux cornrows et aux textiles. Elle résume les objectifs ainsi :</w:t>
      </w:r>
    </w:p>
    <w:p>
      <w:pPr>
        <w:spacing w:after="140" w:line="300"/>
        <w:ind w:left="720" w:right="400"/>
        <w:jc w:val="both"/>
      </w:pPr>
      <w:r>
        <w:rPr>
          <w:i/>
          <w:iCs/>
          <w:sz w:val="21"/>
          <w:szCs w:val="21"/>
        </w:rPr>
        <w:t xml:space="preserve">Les résultats de ces ateliers et de l’interaction des élèves avec les CSDT ne visent pas à attirer par ruse les enfants dans le pipeline des STEM, mais à transformer les STEM elles-mêmes, en créant potentiellement de nouveaux types de scientifiques et d’ingénieur·es qui ne voient plus leur discipline comme intrinsèquement séparée des dimensions culturelles, économiques et écologiques du monde. […] Ainsi, le but final ne se limite pas à réduire les inégalités dans les taux de participation aux STEM, mais aussi à renforcer le flux de valeur non aliénée entre les écoles et les communautés, entre les générations plus jeunes et plus âgées, et entre les disciplines elles-mêmes. (Bennett 2021, 12)</w:t>
      </w:r>
    </w:p>
    <w:p>
      <w:pPr>
        <w:spacing w:after="140" w:line="300"/>
        <w:jc w:val="both"/>
      </w:pPr>
      <w:r>
        <w:rPr>
          <w:b w:val="false"/>
          <w:bCs w:val="false"/>
          <w:i w:val="false"/>
          <w:iCs w:val="false"/>
        </w:rPr>
        <w:t xml:space="preserve">Felecia Davis, professeure associée d’architecture à Penn State, désigne son domaine de recherche comme celui des « textiles architecturaux en réseau » (networked architectural textiles). Dans la « Dreadlock Series », elle décrit son processus ainsi :</w:t>
      </w:r>
    </w:p>
    <w:p>
      <w:pPr>
        <w:spacing w:after="140" w:line="300"/>
        <w:ind w:left="720" w:right="400"/>
        <w:jc w:val="both"/>
      </w:pPr>
      <w:r>
        <w:rPr>
          <w:i/>
          <w:iCs/>
          <w:sz w:val="21"/>
          <w:szCs w:val="21"/>
        </w:rPr>
        <w:t xml:space="preserve">« Cela a commencé comme des textiles plats utilisant ce que nous appelons les fractales africaines, ou une série de Fibonacci, pour faire la rose », explique Davis. « J’ai ensuite suggéré que ces roses pourraient être déployées pour servir de structures en tension, ou combinées à une résine biosourcée, afin de créer une structure architecturale pouvant être mise en forme par la gravité ou la tension. »⁸</w:t>
      </w:r>
    </w:p>
    <w:p>
      <w:pPr>
        <w:spacing w:after="140" w:line="300"/>
        <w:jc w:val="both"/>
      </w:pPr>
      <w:r>
        <w:rPr>
          <w:b w:val="false"/>
          <w:bCs w:val="false"/>
          <w:i w:val="false"/>
          <w:iCs w:val="false"/>
        </w:rPr>
        <w:t xml:space="preserve">Les réponses structurelles à la tension ne sont qu’une des façons dont les grilles dynamiques de Davis répondent à leur environnement. Sur la Figure 10 à droite, </w:t>
      </w:r>
      <w:r>
        <w:rPr>
          <w:b w:val="false"/>
          <w:bCs w:val="false"/>
          <w:i w:val="false"/>
          <w:iCs w:val="false"/>
        </w:rPr>
        <w:t xml:space="preserve">on voit l’un de ses tissus thermosensibles qui créent leurs propres ouvertures, produisant des modèles d’architectures qui s’adaptent aux mouvements du sol, aux régimes de vent ou à d’autres conditions environnementales. À gauche se trouve une structure photosensible qui modifie sa forme en réponse aux changements de lumière. La large gamme de grilles dynamiques de Davis couvre tout, de la détection de l’humeur (Davis et al. 2013) au toucher (Davis 2018), en passant par la tension structurelle (Oghazian et al. 2023). Son « Black Reconstruction Collective » — un réseau d’architectes, d’artistes, de designers et de chercheur·ses noir·es dont la mission est un « travail multi-échelle et multidisciplinaire dédié au démantèlement de la suprématie blanche systémique et de la blanchité hégémonique au sein de l’art, du design et du monde académique » — offre un exemple possible de ce que nous décrivons comme des écologies de design de la diaspora.</w:t>
      </w:r>
    </w:p>
    <w:p>
      <w:pPr>
        <w:spacing w:after="140"/>
        <w:jc w:val="center"/>
      </w:pPr>
      <w:r>
        <w:rPr>
          <w:i/>
          <w:iCs/>
          <w:color w:val="888888"/>
          <w:sz w:val="18"/>
          <w:szCs w:val="18"/>
        </w:rPr>
        <w:t xml:space="preserve">[Figure 9 — L’approche de design agentique de Bennett permet aux élèves d’explorer des modèles computationnels d’algorithmes patrimoniaux d’entrelacs, du tressage hexastrip aux cornrows et au quilting, exprimés à la fois virtuellement et sous forme de rendus physiques. — Figure 10 — Architectures textiles réactives de Felecia Davis, professeure d’architecture à Penn State.]</w:t>
      </w:r>
    </w:p>
    <w:p>
      <w:pPr>
        <w:spacing w:after="140" w:line="300"/>
        <w:jc w:val="both"/>
      </w:pPr>
      <w:r>
        <w:rPr>
          <w:b w:val="false"/>
          <w:bCs w:val="false"/>
          <w:i w:val="false"/>
          <w:iCs w:val="false"/>
        </w:rPr>
        <w:t xml:space="preserve">Kwame Robinson, professeur assistant à la Wayne State University de Detroit, étudie comment des installations informatiques détenues par les travailleur·ses peuvent développer un routage de livraison électronique qui renforce leurs expériences de vie professionnelle et leurs gains financiers (Robinson 2024). Les formes d’entrelacs émergent naturellement de ce travail, parce que les itinéraires ne sont pas optimisés de la manière dont ils le seraient chez DoorDash ou Uber.</w:t>
      </w:r>
    </w:p>
    <w:p>
      <w:pPr>
        <w:spacing w:after="140" w:line="300"/>
        <w:jc w:val="both"/>
      </w:pPr>
      <w:r>
        <w:rPr>
          <w:b w:val="false"/>
          <w:bCs w:val="false"/>
          <w:i w:val="false"/>
          <w:iCs w:val="false"/>
        </w:rPr>
        <w:t xml:space="preserve">Robinson part d’images de la grille imposée par les fermes coloniales de peuplement en 1875, qui cherchaient à maximiser les flux de valeur extractive vers le transport fluvial, et de sa conversion en la grille des rues du Detroit contemporain. Son alternative de livraison électronique, « Solidarity Pathways », demande alors quel type de routage dynamique tisserait à travers cette grille de manière à minimiser l’extraction de valeur. Les fermes urbaines de Detroit ont des liens de longue date avec l’activisme local pour la justice sociale, ce qui en faisait un choix pertinent pour un ensemble de nœuds de ce réseau émergent. Il s’est associé à Deeply Rooted Produce, qui s’approvisionne auprès de fermes familiales détenues et exploitées par des personnes BIPOC (Noir·es, Autochtones et personnes de couleur), en plus de ses propres produits cultivés localement. Deeply Rooted transforme les récoltes et les livre à la fois aux circuits de marché pertinents du Grand Detroit et directement aux client·es.</w:t>
      </w:r>
    </w:p>
    <w:p>
      <w:pPr>
        <w:spacing w:after="140" w:line="300"/>
        <w:jc w:val="both"/>
      </w:pPr>
      <w:r>
        <w:rPr>
          <w:b w:val="false"/>
          <w:bCs w:val="false"/>
          <w:i w:val="false"/>
          <w:iCs w:val="false"/>
        </w:rPr>
        <w:t xml:space="preserve">En codant leur propre application de livraison électronique, l’équipe de Robinson a pu tester différentes configurations de design, incluant à la fois les expériences des chauffeur·ses et des fournisseur·ses. Un ensemble de flux extractifs provenait des frais par transaction que créent les logiciels actuels de routage, de livraison et de paiement. D’autres relevaient d’aspects plus subtils de ce qui est absent : puisque les logiciels cherchent généralement à optimiser les profits des entreprises, des enjeux comme les contingences des chauffeur·ses (à quelle heure je dois récupérer mes enfants, un routage privilégiant la sécurité plutôt que la vitesse, etc.) sont rendus invisibles. L’entrelacs de routage qui en résulte est à la fois dynamique et génératif, s’adaptant aux besoins locaux et élargissant les possibilités de solidarité économique communautaire.</w:t>
      </w:r>
    </w:p>
    <w:p>
      <w:pPr>
        <w:pStyle w:val="Heading1"/>
        <w:spacing w:after="140" w:before="320"/>
      </w:pPr>
      <w:r>
        <w:rPr>
          <w:b/>
          <w:bCs/>
        </w:rPr>
        <w:t xml:space="preserve">Remarques conclusives et recherches futures</w:t>
      </w:r>
    </w:p>
    <w:p>
      <w:pPr>
        <w:spacing w:after="140" w:line="300"/>
        <w:jc w:val="both"/>
      </w:pPr>
      <w:r>
        <w:rPr>
          <w:b w:val="false"/>
          <w:bCs w:val="false"/>
          <w:i w:val="false"/>
          <w:iCs w:val="false"/>
        </w:rPr>
        <w:t xml:space="preserve">Comme l’a noté Pais (2011), la tentation, dans l’ethnocomputing, l’ethnomathématique et les « traductions » similaires de savoirs autochtones en structures formelles, est le mode de l’acceptation, comme pour dire : « Vous voyez ? </w:t>
      </w:r>
      <w:r>
        <w:rPr>
          <w:b w:val="false"/>
          <w:bCs w:val="false"/>
          <w:i w:val="false"/>
          <w:iCs w:val="false"/>
        </w:rPr>
        <w:t xml:space="preserve">Ils ne sont pas primitifs, puisque leurs mathématiques ressemblent aux vôtres. » Mais ce faisant, nous perdons les compréhensions singulières qui deviennent possibles, y compris les modes de résistance, des deux côtés — occidental et non-occidental — de cette traduction. L’entrelacs africain participe à la famille des formalismes liés à la topologie et à la théorie des nœuds, mais il offre aussi de nouvelles intuitions, liées en partie à ses connexions avec les systèmes génératifs. Par exemple, alors qu’une seule instance d’une boucle unicursale symbolise une sorte de système régénératif (par exemple la vie/naissance), les systèmes de génération de boucles récursives — l’avancement du savoir par classes d’âge, les accumulations intergénérationnelles qui créent des formes de méta-adaptation environnementale et sociale à long terme (par exemple l’épistémologie dogon telle que décrite dans Eglash 1999, 131-133) — agissent comme une sorte de méta-algorithme pour la régénération des boucles régénératrices. C’est le type de méta-récursivité que Cantor a formalisé sous le nom de théorie des ensembles transfinis, Gödel sous celui de son théorème d’incomplétude, et Turing sous celui de la calculabilité⁹. Mais tandis que l’approche occidentale tend à se concentrer sur la définition et le maintien de la complétude, la tradition africaine tend à se concentrer sur l’épanouissement.</w:t>
      </w:r>
    </w:p>
    <w:p>
      <w:pPr>
        <w:spacing w:after="140" w:line="300"/>
        <w:jc w:val="both"/>
      </w:pPr>
      <w:r>
        <w:rPr>
          <w:b w:val="false"/>
          <w:bCs w:val="false"/>
          <w:i w:val="false"/>
          <w:iCs w:val="false"/>
        </w:rPr>
        <w:t xml:space="preserve">Cette distinction est de plus en plus importante à mesure que l’approche occidentale est passée de la domination par le contrôle descendant (top-down) à la domination par l’appropriation des systèmes ascendants (bottom-up). Rien ne l’illustre peut-être mieux que l’expression « IA générative ». Après des décennies et des milliards de financement, tenter l’IA comme des systèmes descendants de règles explicitement programmées et de catégories prédéfinies a échoué. L’approche ascendante de l’IA générative collecte des motifs statistiques d’images et de textes appropriés sur Internet, sans retour de valeur vers celles et ceux qui ont créé ces données. Les réseaux sociaux illustrent aussi cette tendance : plutôt qu’un contrôle par le haut, comme dans quelque chose comme le </w:t>
      </w:r>
      <w:r>
        <w:rPr>
          <w:b w:val="false"/>
          <w:bCs w:val="false"/>
          <w:i/>
          <w:iCs/>
        </w:rPr>
        <w:t xml:space="preserve">1984</w:t>
      </w:r>
      <w:r>
        <w:rPr>
          <w:b w:val="false"/>
          <w:bCs w:val="false"/>
          <w:i w:val="false"/>
          <w:iCs w:val="false"/>
        </w:rPr>
        <w:t xml:space="preserve"> d’Orwell, les réseaux sociaux colonisent nos propres réseaux sociaux par le bas, transformant ce qui devrait être une régénération sociale d’engagements démocratiques et populaires en de nouvelles formes de marchandisation et d’exploitation.</w:t>
      </w:r>
    </w:p>
    <w:p>
      <w:pPr>
        <w:spacing w:after="140" w:line="300"/>
        <w:jc w:val="both"/>
      </w:pPr>
      <w:r>
        <w:rPr>
          <w:b w:val="false"/>
          <w:bCs w:val="false"/>
          <w:i w:val="false"/>
          <w:iCs w:val="false"/>
        </w:rPr>
        <w:t xml:space="preserve">L’entrelacs africain offre un modèle alternatif : une organisation ascendante dédiée à sa finalité originelle de justice générative. Il l’exprime en couplant l’imagerie vive des tracés récursifs à de riches significations culturelles : la circulation de la « force vitale » décrite par le </w:t>
      </w:r>
      <w:r>
        <w:rPr>
          <w:b w:val="false"/>
          <w:bCs w:val="false"/>
          <w:i/>
          <w:iCs/>
        </w:rPr>
        <w:t xml:space="preserve">nummo</w:t>
      </w:r>
      <w:r>
        <w:rPr>
          <w:b w:val="false"/>
          <w:bCs w:val="false"/>
          <w:i w:val="false"/>
          <w:iCs w:val="false"/>
        </w:rPr>
        <w:t xml:space="preserve"> (Dogon), l’</w:t>
      </w:r>
      <w:r>
        <w:rPr>
          <w:b w:val="false"/>
          <w:bCs w:val="false"/>
          <w:i/>
          <w:iCs/>
        </w:rPr>
        <w:t xml:space="preserve">ase</w:t>
      </w:r>
      <w:r>
        <w:rPr>
          <w:b w:val="false"/>
          <w:bCs w:val="false"/>
          <w:i w:val="false"/>
          <w:iCs w:val="false"/>
        </w:rPr>
        <w:t xml:space="preserve"> (Yoruba), le </w:t>
      </w:r>
      <w:r>
        <w:rPr>
          <w:b w:val="false"/>
          <w:bCs w:val="false"/>
          <w:i/>
          <w:iCs/>
        </w:rPr>
        <w:t xml:space="preserve">mooy</w:t>
      </w:r>
      <w:r>
        <w:rPr>
          <w:b w:val="false"/>
          <w:bCs w:val="false"/>
          <w:i w:val="false"/>
          <w:iCs w:val="false"/>
        </w:rPr>
        <w:t xml:space="preserve"> (Luunda), et ainsi de suite. Comme nous l’avons vu avec les « Solidarity Pathways » de Robinson, les outils de design de Bennett et l’architecture computationnelle de Davis, il est possible de reconcevoir l’IA et les technologies apparentées pour mieux se conformer à cette finalité originelle des formes d’entrelacs : un moyen de restituer la valeur écologique, la valeur-travail et la valeur sociale à leur source générative d’origine.</w:t>
      </w:r>
    </w:p>
    <w:p>
      <w:pPr>
        <w:spacing w:after="140" w:line="300"/>
        <w:jc w:val="both"/>
      </w:pPr>
      <w:r>
        <w:rPr>
          <w:b w:val="false"/>
          <w:bCs w:val="false"/>
          <w:i w:val="false"/>
          <w:iCs w:val="false"/>
        </w:rPr>
        <w:t xml:space="preserve">À mesure que nous explorons l’entrelacs noir comme algorithmes patrimoniaux, de nouvelles possibilités pour leurs applications pluridisciplinaires continuent d’émerger. Le simple fait de poursuivre l’exploration de leurs origines en Afrique peut être fécond. De la même manière, leurs implications en tant qu’« africanismes » dans les Amériques ouvrent une variété de nouvelles pistes d’investigation pour l’histoire, l’archéologie, l’anthropologie culturelle et les études noires. Et en les comprenant davantage comme des algorithmes patrimoniaux — des formalismes computationnels traditionnels qui font le pont entre la pratique concrète et la signification abstraite —, ils ouvrent de nouvelles voies pour les écologies de design de la diaspora, et de nouveaux moyens de fusionner les technologies computationnelles occidentales avec l’accent traditionnel africain mis sur les formes de justice générative.</w:t>
      </w:r>
    </w:p>
    <w:p>
      <w:pPr>
        <w:pStyle w:val="Heading1"/>
        <w:spacing w:after="140" w:before="320"/>
      </w:pPr>
      <w:r>
        <w:rPr>
          <w:b/>
          <w:bCs/>
        </w:rPr>
        <w:t xml:space="preserve">Déclaration d’intérêts</w:t>
      </w:r>
    </w:p>
    <w:p>
      <w:pPr>
        <w:spacing w:after="140" w:line="300"/>
        <w:jc w:val="both"/>
      </w:pPr>
      <w:r>
        <w:t xml:space="preserve">Aucun conflit d’intérêts potentiel n’a été signalé par les auteurs.</w:t>
      </w:r>
    </w:p>
    <w:p>
      <w:pPr>
        <w:pStyle w:val="Heading1"/>
        <w:spacing w:after="140" w:before="320"/>
      </w:pPr>
      <w:r>
        <w:rPr>
          <w:b/>
          <w:bCs/>
        </w:rPr>
        <w:t xml:space="preserve">Notes</w:t>
      </w:r>
    </w:p>
    <w:p>
      <w:pPr>
        <w:spacing w:after="100" w:line="280"/>
        <w:ind w:left="360" w:hanging="360"/>
        <w:jc w:val="both"/>
      </w:pPr>
      <w:r>
        <w:rPr>
          <w:b/>
          <w:bCs/>
        </w:rPr>
        <w:t xml:space="preserve">1. </w:t>
      </w:r>
      <w:r>
        <w:t xml:space="preserve">Steil et Carvalho (2014) retracent l’usage de ce concept, depuis ses origines autochtones jusqu’à sa réinterprétation et sa traduction en terminologie occidentale par des anthropologues comme Bateson et Ingold, puis par des chercheur·ses en STS (études sociales des sciences) et en Nouveau Matérialisme.</w:t>
      </w:r>
    </w:p>
    <w:p>
      <w:pPr>
        <w:spacing w:after="100" w:line="280"/>
        <w:ind w:left="360" w:hanging="360"/>
        <w:jc w:val="both"/>
      </w:pPr>
      <w:r>
        <w:rPr>
          <w:b/>
          <w:bCs/>
        </w:rPr>
        <w:t xml:space="preserve">2. </w:t>
      </w:r>
      <w:r>
        <w:t xml:space="preserve">La philosophie ubuntu se traduit approximativement par le concept européen d’« entraide » (mutual aid). Mais les cadres occidentaux de la théorie des jeux, où l’entraide vise à maximiser la fitness individuelle, correspondent mal à la philosophie ubuntu, souvent résumée par « je suis parce que nous sommes » ; c’est-à-dire que le « soi » est social et non individuel (Gade 2011).</w:t>
      </w:r>
    </w:p>
    <w:p>
      <w:pPr>
        <w:spacing w:after="100" w:line="280"/>
        <w:ind w:left="360" w:hanging="360"/>
        <w:jc w:val="both"/>
      </w:pPr>
      <w:r>
        <w:rPr>
          <w:b/>
          <w:bCs/>
        </w:rPr>
        <w:t xml:space="preserve">3. </w:t>
      </w:r>
      <w:r>
        <w:t xml:space="preserve">En 1736, Euler a introduit la théorie des graphes avec une histoire à propos de sa ville de Königsberg : un mythe local prétendait que l’on pouvait traverser ses sept ponts sans emprunter deux fois le même, mais il a montré qu’un tel tracé « unicursal » est impossible. La terminologie de la théorie des graphes reflète encore le concept de tracés. Une « marche » (walk) désigne des lignes reliées à des sommets, et un « sentier » (trail) est une marche où aucune ligne n’est empruntée deux fois. Un sentier qui se termine là où il a commencé est « unicursal ». Si le sentier inclut le concept de distinctions dessus/dessous, on obtient la théorie des nœuds. Si un sentier est inscrit sur une surface spécifique, comme une sphère plutôt qu’un tore, on obtient la théorie des graphes topologiques.</w:t>
      </w:r>
    </w:p>
    <w:p>
      <w:pPr>
        <w:spacing w:after="100" w:line="280"/>
        <w:ind w:left="360" w:hanging="360"/>
        <w:jc w:val="both"/>
      </w:pPr>
      <w:r>
        <w:rPr>
          <w:b/>
          <w:bCs/>
        </w:rPr>
        <w:t xml:space="preserve">4. </w:t>
      </w:r>
      <w:r>
        <w:t xml:space="preserve">Un moyen simple d’y parvenir est d’imaginer que la grille se trouve dans une boîte de miroirs, et que la ligne est un faisceau laser. En partant d’un faisceau à la diagonale entre les points, et sachant que l’angle d’incidence = l’angle de réflexion, on peut compléter le tracé pour n’importe quelle taille de grille dans la famille (n+1) par (n+2).</w:t>
      </w:r>
    </w:p>
    <w:p>
      <w:pPr>
        <w:spacing w:after="100" w:line="280"/>
        <w:ind w:left="360" w:hanging="360"/>
        <w:jc w:val="both"/>
      </w:pPr>
      <w:r>
        <w:rPr>
          <w:b/>
          <w:bCs/>
        </w:rPr>
        <w:t xml:space="preserve">5. </w:t>
      </w:r>
      <w:r>
        <w:t xml:space="preserve">Eglash (1999, 131-133) le décrit en détail : le méta-algorithme de l’épistémologie dogon est lui-même intégré dans des boucles régénératrices plus vastes. Autrement dit, les algorithmes d’un ensemble de motifs dogons sont eux-mêmes créés par des algorithmes de niveau supérieur. Ces méta-niveaux représentent la cosmologie dogon comme le déploiement continu d’un univers régénératif.</w:t>
      </w:r>
    </w:p>
    <w:p>
      <w:pPr>
        <w:spacing w:after="100" w:line="280"/>
        <w:ind w:left="360" w:hanging="360"/>
        <w:jc w:val="both"/>
      </w:pPr>
      <w:r>
        <w:rPr>
          <w:b/>
          <w:bCs/>
        </w:rPr>
        <w:t xml:space="preserve">6. </w:t>
      </w:r>
      <w:r>
        <w:t xml:space="preserve">Le CROWN Act signifie « Creating a Respectful and Open World for Natural Hair » (Créer un monde respectueux et ouvert pour les cheveux naturels). C’est un texte législatif visant à interdire la discrimination fondée sur la texture ou le style des cheveux d’une personne, protégeant ainsi les gens contre la discrimination liée au port de coiffures naturelles couramment associées à une race ou une ethnie donnée, comme les tresses cornrows, les locs ou les twists.</w:t>
      </w:r>
    </w:p>
    <w:p>
      <w:pPr>
        <w:spacing w:after="100" w:line="280"/>
        <w:ind w:left="360" w:hanging="360"/>
        <w:jc w:val="both"/>
      </w:pPr>
      <w:r>
        <w:rPr>
          <w:b/>
          <w:bCs/>
        </w:rPr>
        <w:t xml:space="preserve">7. </w:t>
      </w:r>
      <w:r>
        <w:t xml:space="preserve">Pour des images de ces sculptures et de l’usage africain traditionnel du geste des bras croisés, voir De Grunne (1988).</w:t>
      </w:r>
    </w:p>
    <w:p>
      <w:pPr>
        <w:spacing w:after="100" w:line="280"/>
        <w:ind w:left="360" w:hanging="360"/>
        <w:jc w:val="both"/>
      </w:pPr>
      <w:r>
        <w:rPr>
          <w:b/>
          <w:bCs/>
        </w:rPr>
        <w:t xml:space="preserve">8. </w:t>
      </w:r>
      <w:r>
        <w:t xml:space="preserve">Cité depuis : https://arts.psu.edu/news/architecture-labs-computational-textiles-work-featured-in-upcoming-exhibition/</w:t>
      </w:r>
    </w:p>
    <w:p>
      <w:pPr>
        <w:spacing w:after="100" w:line="280"/>
        <w:ind w:left="360" w:hanging="360"/>
        <w:jc w:val="both"/>
      </w:pPr>
      <w:r>
        <w:rPr>
          <w:b/>
          <w:bCs/>
        </w:rPr>
        <w:t xml:space="preserve">9. </w:t>
      </w:r>
      <w:r>
        <w:t xml:space="preserve">Cantor a effacé le milieu d’une ligne, puis le milieu des deux lignes restantes, et a répété cela jusqu’à l’infini, créant la première fractale des mathématiques occidentales. Ce que Cantor a fait pour la géométrie, Gödel l’a fait pour la théorie des ensembles, et Turing pour le calcul : dans chaque cas, en retournant le système sur lui-même pour montrer les limites de la compréhension lorsque la récursivité est appliquée.</w:t>
      </w:r>
    </w:p>
    <w:p>
      <w:pPr>
        <w:pStyle w:val="Heading1"/>
        <w:spacing w:after="140" w:before="320"/>
      </w:pPr>
      <w:r>
        <w:rPr>
          <w:b/>
          <w:bCs/>
        </w:rPr>
        <w:t xml:space="preserve">Références</w:t>
      </w:r>
    </w:p>
    <w:p>
      <w:pPr>
        <w:spacing w:after="120"/>
      </w:pPr>
      <w:r>
        <w:rPr>
          <w:i/>
          <w:iCs/>
          <w:color w:val="888888"/>
          <w:sz w:val="18"/>
          <w:szCs w:val="18"/>
        </w:rPr>
        <w:t xml:space="preserve">Les références bibliographiques sont conservées dans leur langue d’origine, conformément à l’usage académique.</w:t>
      </w:r>
    </w:p>
    <w:p>
      <w:pPr>
        <w:spacing w:after="80" w:line="260"/>
        <w:ind w:left="360" w:hanging="360"/>
      </w:pPr>
      <w:r>
        <w:rPr>
          <w:sz w:val="20"/>
          <w:szCs w:val="20"/>
        </w:rPr>
        <w:t xml:space="preserve">Angelou, Maya. 1969. I Know Why the Caged Bird Sings. NY: Random House.</w:t>
      </w:r>
    </w:p>
    <w:p>
      <w:pPr>
        <w:spacing w:after="80" w:line="260"/>
        <w:ind w:left="360" w:hanging="360"/>
      </w:pPr>
      <w:r>
        <w:rPr>
          <w:sz w:val="20"/>
          <w:szCs w:val="20"/>
        </w:rPr>
        <w:t xml:space="preserve">Annenberg. 2009. « Art: Royal Crown (adènlà). » Art Through Time: A Global View.</w:t>
      </w:r>
    </w:p>
    <w:p>
      <w:pPr>
        <w:spacing w:after="80" w:line="260"/>
        <w:ind w:left="360" w:hanging="360"/>
      </w:pPr>
      <w:r>
        <w:rPr>
          <w:sz w:val="20"/>
          <w:szCs w:val="20"/>
        </w:rPr>
        <w:t xml:space="preserve">Babbitt, Bruce, David Lyles, and Ron Eglash. 2012. « From Ethnomathematics to Ethnocomputing: Indigenous Algorithms in Traditional Context and Contemporary Simulation. » In Alternative Forms of Knowing (in) Mathematics, 205–219. Leiden: Brill.</w:t>
      </w:r>
    </w:p>
    <w:p>
      <w:pPr>
        <w:spacing w:after="80" w:line="260"/>
        <w:ind w:left="360" w:hanging="360"/>
      </w:pPr>
      <w:r>
        <w:rPr>
          <w:sz w:val="20"/>
          <w:szCs w:val="20"/>
        </w:rPr>
        <w:t xml:space="preserve">Bennett, Audrey G. 2003. « Towards an autochthonic black aesthetic for graphic design pedagogy. » Journal of Design Research 3 (2): 61–70.</w:t>
      </w:r>
    </w:p>
    <w:p>
      <w:pPr>
        <w:spacing w:after="80" w:line="260"/>
        <w:ind w:left="360" w:hanging="360"/>
      </w:pPr>
      <w:r>
        <w:rPr>
          <w:sz w:val="20"/>
          <w:szCs w:val="20"/>
        </w:rPr>
        <w:t xml:space="preserve">Bennett, Audrey G. 2016. « Ethnocomputational Creativity in STEAM Education: A Cultural Framework for Generative Justice. » Teknokultura 13 (2): 587–612.</w:t>
      </w:r>
    </w:p>
    <w:p>
      <w:pPr>
        <w:spacing w:after="80" w:line="260"/>
        <w:ind w:left="360" w:hanging="360"/>
      </w:pPr>
      <w:r>
        <w:rPr>
          <w:sz w:val="20"/>
          <w:szCs w:val="20"/>
        </w:rPr>
        <w:t xml:space="preserve">Bennett, Audrey G. 2021. « Agentic Design: An Emergent Approach to Generative Justice. » New Design Ideas 5 (1): 5–20.</w:t>
      </w:r>
    </w:p>
    <w:p>
      <w:pPr>
        <w:spacing w:after="80" w:line="260"/>
        <w:ind w:left="360" w:hanging="360"/>
      </w:pPr>
      <w:r>
        <w:rPr>
          <w:sz w:val="20"/>
          <w:szCs w:val="20"/>
        </w:rPr>
        <w:t xml:space="preserve">Bennett, Audrey G. 2023. « Heritage Algorithms Combine the Rigours of Science with the Infinite Possibilities of Art and Design. » The Conversation.</w:t>
      </w:r>
    </w:p>
    <w:p>
      <w:pPr>
        <w:spacing w:after="80" w:line="260"/>
        <w:ind w:left="360" w:hanging="360"/>
      </w:pPr>
      <w:r>
        <w:rPr>
          <w:sz w:val="20"/>
          <w:szCs w:val="20"/>
        </w:rPr>
        <w:t xml:space="preserve">Berry, Anne H., Kareem Collie, Penina Laker, Lesley-Ann Noel, Jennifer Rittner, and Kelly Walters, eds. 2022. The Black Experience in Design: Identity, Expression and Reflection. Simon and Schuster.</w:t>
      </w:r>
    </w:p>
    <w:p>
      <w:pPr>
        <w:spacing w:after="80" w:line="260"/>
        <w:ind w:left="360" w:hanging="360"/>
      </w:pPr>
      <w:r>
        <w:rPr>
          <w:sz w:val="20"/>
          <w:szCs w:val="20"/>
        </w:rPr>
        <w:t xml:space="preserve">Brown, DeNeen L. 1999. « Black Hands, Green Gardens: In African American Yards, Nurturing the Roots. » The Washington Post, August 25, 1999.</w:t>
      </w:r>
    </w:p>
    <w:p>
      <w:pPr>
        <w:spacing w:after="80" w:line="260"/>
        <w:ind w:left="360" w:hanging="360"/>
      </w:pPr>
      <w:r>
        <w:rPr>
          <w:sz w:val="20"/>
          <w:szCs w:val="20"/>
        </w:rPr>
        <w:t xml:space="preserve">Cranshof, Els, Nsiami Nikis, and Pierre de Maret. 2018. « Ceramics Decorated with Woven Motifs: An Archaeological Kongo Kingdom Identifier? » In The Kongo Kingdom, 165–196. Cambridge University Press.</w:t>
      </w:r>
    </w:p>
    <w:p>
      <w:pPr>
        <w:spacing w:after="80" w:line="260"/>
        <w:ind w:left="360" w:hanging="360"/>
      </w:pPr>
      <w:r>
        <w:rPr>
          <w:sz w:val="20"/>
          <w:szCs w:val="20"/>
        </w:rPr>
        <w:t xml:space="preserve">Davis, Felecia. 2018. « Touch: Communication of Emotion Through Computational Textile Expression. » In DAPI 2018, 292–309. Springer.</w:t>
      </w:r>
    </w:p>
    <w:p>
      <w:pPr>
        <w:spacing w:after="80" w:line="260"/>
        <w:ind w:left="360" w:hanging="360"/>
      </w:pPr>
      <w:r>
        <w:rPr>
          <w:sz w:val="20"/>
          <w:szCs w:val="20"/>
        </w:rPr>
        <w:t xml:space="preserve">Davis, Felecia, Asta Roseway, Erin Carroll, and Mary Czerwinski. 2013. « Actuating Mood: Design of the Textile Mirror. » In TEI 2013, 99–106. ACM.</w:t>
      </w:r>
    </w:p>
    <w:p>
      <w:pPr>
        <w:spacing w:after="80" w:line="260"/>
        <w:ind w:left="360" w:hanging="360"/>
      </w:pPr>
      <w:r>
        <w:rPr>
          <w:sz w:val="20"/>
          <w:szCs w:val="20"/>
        </w:rPr>
        <w:t xml:space="preserve">De Boeck, Filip. 1993. « Symbolic and Diachronic Study of Intercultural Therapeutic Divinatory Roles Among Aluund (« Lunda ») and Chokwe in the Upper Kwango. » Afrika Focus 9 (1-2): 73–104.</w:t>
      </w:r>
    </w:p>
    <w:p>
      <w:pPr>
        <w:spacing w:after="80" w:line="260"/>
        <w:ind w:left="360" w:hanging="360"/>
      </w:pPr>
      <w:r>
        <w:rPr>
          <w:sz w:val="20"/>
          <w:szCs w:val="20"/>
        </w:rPr>
        <w:t xml:space="preserve">De Grunne, Bernard. 1988. « Ancient Sculpture of the Inland Niger Delta and Its Influence on Dogon Art. » African Arts 21 (4): 50–92.</w:t>
      </w:r>
    </w:p>
    <w:p>
      <w:pPr>
        <w:spacing w:after="80" w:line="260"/>
        <w:ind w:left="360" w:hanging="360"/>
      </w:pPr>
      <w:r>
        <w:rPr>
          <w:sz w:val="20"/>
          <w:szCs w:val="20"/>
        </w:rPr>
        <w:t xml:space="preserve">Donahoo, Saran, and Asia D. Smith. 2022. « Controlling the Crown: Legal Efforts to Professionalize Black Hair. » Race and Justice 12 (1): 182–203.</w:t>
      </w:r>
    </w:p>
    <w:p>
      <w:pPr>
        <w:spacing w:after="80" w:line="260"/>
        <w:ind w:left="360" w:hanging="360"/>
      </w:pPr>
      <w:r>
        <w:rPr>
          <w:sz w:val="20"/>
          <w:szCs w:val="20"/>
        </w:rPr>
        <w:t xml:space="preserve">Dossar, Kenneth. 1992. « Capoeira Angola: Dancing Between Two Worlds. » Afro-Hispanic Review 11 (1/3): 5–10.</w:t>
      </w:r>
    </w:p>
    <w:p>
      <w:pPr>
        <w:spacing w:after="80" w:line="260"/>
        <w:ind w:left="360" w:hanging="360"/>
      </w:pPr>
      <w:r>
        <w:rPr>
          <w:sz w:val="20"/>
          <w:szCs w:val="20"/>
        </w:rPr>
        <w:t xml:space="preserve">Drewal, Henry John. 1979. « Pageantry and Power in Yoruba Costuming. » In The Fabrics of Culture, 189–230. The Hague: Mouton.</w:t>
      </w:r>
    </w:p>
    <w:p>
      <w:pPr>
        <w:spacing w:after="80" w:line="260"/>
        <w:ind w:left="360" w:hanging="360"/>
      </w:pPr>
      <w:r>
        <w:rPr>
          <w:sz w:val="20"/>
          <w:szCs w:val="20"/>
        </w:rPr>
        <w:t xml:space="preserve">Drewal, Henry John, and John Mason. 1998. « Beads, Body, and Soul: Art and Light in the Yoruba Universe. » African Arts 32 (3): 1.</w:t>
      </w:r>
    </w:p>
    <w:p>
      <w:pPr>
        <w:spacing w:after="80" w:line="260"/>
        <w:ind w:left="360" w:hanging="360"/>
      </w:pPr>
      <w:r>
        <w:rPr>
          <w:sz w:val="20"/>
          <w:szCs w:val="20"/>
        </w:rPr>
        <w:t xml:space="preserve">Eglash, Ron. 1999. African Fractals: Modern Computing and Indigenous Design. Rutgers, New Jersey.</w:t>
      </w:r>
    </w:p>
    <w:p>
      <w:pPr>
        <w:spacing w:after="80" w:line="260"/>
        <w:ind w:left="360" w:hanging="360"/>
      </w:pPr>
      <w:r>
        <w:rPr>
          <w:sz w:val="20"/>
          <w:szCs w:val="20"/>
        </w:rPr>
        <w:t xml:space="preserve">Eglash, Ron. 2016. « Of Marx and Makers: An Historical Perspective on Generative Justice. » Teknokultura 13 (1): 245–269.</w:t>
      </w:r>
    </w:p>
    <w:p>
      <w:pPr>
        <w:spacing w:after="80" w:line="260"/>
        <w:ind w:left="360" w:hanging="360"/>
      </w:pPr>
      <w:r>
        <w:rPr>
          <w:sz w:val="20"/>
          <w:szCs w:val="20"/>
        </w:rPr>
        <w:t xml:space="preserve">Eglash, Ron. 2023. « Ethno-Biomathematics: A Decolonial Approach to Mathematics at the Intersection of Human and Nonhuman Design. » In Ubiratan D’Ambrosio and Mathematics Education, 289–303. Springer.</w:t>
      </w:r>
    </w:p>
    <w:p>
      <w:pPr>
        <w:spacing w:after="80" w:line="260"/>
        <w:ind w:left="360" w:hanging="360"/>
      </w:pPr>
      <w:r>
        <w:rPr>
          <w:sz w:val="20"/>
          <w:szCs w:val="20"/>
        </w:rPr>
        <w:t xml:space="preserve">Eglash, Ron, Audrey Bennett, Michael Lachney, and William Babbitt. 2021. « Evolving Systems for Generative Justice: Decolonial Approaches to the Cosmo-Local. » In The Cosmo-Local Reader, 60–75. Melbourne: Futures Lab.</w:t>
      </w:r>
    </w:p>
    <w:p>
      <w:pPr>
        <w:spacing w:after="80" w:line="260"/>
        <w:ind w:left="360" w:hanging="360"/>
      </w:pPr>
      <w:r>
        <w:rPr>
          <w:sz w:val="20"/>
          <w:szCs w:val="20"/>
        </w:rPr>
        <w:t xml:space="preserve">Eglash, Ron, Kwame P. Robinson, Audrey Bennett, Lionel Robert, and Mathew Garvin. 2024. « Computational Reparations as Generative Justice: Decolonial Transitions to Unalienated Circular Value Flow. » Big Data &amp; Society 11 (1).</w:t>
      </w:r>
    </w:p>
    <w:p>
      <w:pPr>
        <w:spacing w:after="80" w:line="260"/>
        <w:ind w:left="360" w:hanging="360"/>
      </w:pPr>
      <w:r>
        <w:rPr>
          <w:sz w:val="20"/>
          <w:szCs w:val="20"/>
        </w:rPr>
        <w:t xml:space="preserve">Fesler, Garrett. 2010. « Excavating the Spaces and Interpreting the Places of Enslaved Africans and Their Descendants. » In Cabin, Quarter, Plantation, 27–49. Yale University Press.</w:t>
      </w:r>
    </w:p>
    <w:p>
      <w:pPr>
        <w:spacing w:after="80" w:line="260"/>
        <w:ind w:left="360" w:hanging="360"/>
      </w:pPr>
      <w:r>
        <w:rPr>
          <w:sz w:val="20"/>
          <w:szCs w:val="20"/>
        </w:rPr>
        <w:t xml:space="preserve">Gates, Henry Louis, Jr. 2014. The Signifying Monkey: A Theory of African American Literary Criticism. Oxford University Press.</w:t>
      </w:r>
    </w:p>
    <w:p>
      <w:pPr>
        <w:spacing w:after="80" w:line="260"/>
        <w:ind w:left="360" w:hanging="360"/>
      </w:pPr>
      <w:r>
        <w:rPr>
          <w:sz w:val="20"/>
          <w:szCs w:val="20"/>
        </w:rPr>
        <w:t xml:space="preserve">Gerdes, Paulus. 1994. « On Mathematics in the History of Sub-Saharan Africa. » Historia Mathematica 21 (3): 345–376.</w:t>
      </w:r>
    </w:p>
    <w:p>
      <w:pPr>
        <w:spacing w:after="80" w:line="260"/>
        <w:ind w:left="360" w:hanging="360"/>
      </w:pPr>
      <w:r>
        <w:rPr>
          <w:sz w:val="20"/>
          <w:szCs w:val="20"/>
        </w:rPr>
        <w:t xml:space="preserve">Gowdy, John. 1999. « Hunter-Gatherers and the Mythology of the Market. » In The Cambridge Encyclopedia of Hunters and Gatherers, 391–398. Cambridge University Press.</w:t>
      </w:r>
    </w:p>
    <w:p>
      <w:pPr>
        <w:spacing w:after="80" w:line="260"/>
        <w:ind w:left="360" w:hanging="360"/>
      </w:pPr>
      <w:r>
        <w:rPr>
          <w:sz w:val="20"/>
          <w:szCs w:val="20"/>
        </w:rPr>
        <w:t xml:space="preserve">Griaule, Marcel. 1965. Conversations with Ogotemmeli. London: Oxford University Press.</w:t>
      </w:r>
    </w:p>
    <w:p>
      <w:pPr>
        <w:spacing w:after="80" w:line="260"/>
        <w:ind w:left="360" w:hanging="360"/>
      </w:pPr>
      <w:r>
        <w:rPr>
          <w:sz w:val="20"/>
          <w:szCs w:val="20"/>
        </w:rPr>
        <w:t xml:space="preserve">Hebblethwaite, Benjamin. 2016. « Kwadebouké Seremoni – Veves (Part 1). » YouTube video, 5:59.</w:t>
      </w:r>
    </w:p>
    <w:p>
      <w:pPr>
        <w:spacing w:after="80" w:line="260"/>
        <w:ind w:left="360" w:hanging="360"/>
      </w:pPr>
      <w:r>
        <w:rPr>
          <w:sz w:val="20"/>
          <w:szCs w:val="20"/>
        </w:rPr>
        <w:t xml:space="preserve">Ignatov, Anatoli. 2016. « African Orature as Ecophilosophy: Tuning in to the Voices of the Land. » GeoHumanities 2 (1): 76–91.</w:t>
      </w:r>
    </w:p>
    <w:p>
      <w:pPr>
        <w:spacing w:after="80" w:line="260"/>
        <w:ind w:left="360" w:hanging="360"/>
      </w:pPr>
      <w:r>
        <w:rPr>
          <w:sz w:val="20"/>
          <w:szCs w:val="20"/>
        </w:rPr>
        <w:t xml:space="preserve">Joachim, Sally A. 1999. « African-American Garden Culture: A Study of Tradition and Translation. » PhD diss., Louisiana State University.</w:t>
      </w:r>
    </w:p>
    <w:p>
      <w:pPr>
        <w:spacing w:after="80" w:line="260"/>
        <w:ind w:left="360" w:hanging="360"/>
      </w:pPr>
      <w:r>
        <w:rPr>
          <w:sz w:val="20"/>
          <w:szCs w:val="20"/>
        </w:rPr>
        <w:t xml:space="preserve">Johnson, Elizabeth. 2016. Resistance and Empowerment in Black Women’s Hair Styling. London: Routledge.</w:t>
      </w:r>
    </w:p>
    <w:p>
      <w:pPr>
        <w:spacing w:after="80" w:line="260"/>
        <w:ind w:left="360" w:hanging="360"/>
      </w:pPr>
      <w:r>
        <w:rPr>
          <w:sz w:val="20"/>
          <w:szCs w:val="20"/>
        </w:rPr>
        <w:t xml:space="preserve">Kreikenbohm, Annika. 2017. « EMotion—The Energy Flow in Capoeira. » Annok.</w:t>
      </w:r>
    </w:p>
    <w:p>
      <w:pPr>
        <w:spacing w:after="80" w:line="260"/>
        <w:ind w:left="360" w:hanging="360"/>
      </w:pPr>
      <w:r>
        <w:rPr>
          <w:sz w:val="20"/>
          <w:szCs w:val="20"/>
        </w:rPr>
        <w:t xml:space="preserve">Kubik, Gerhard. 1987. « African Space/Time Concepts and the ‘Tusona’ Ideographs in Luchazi Culture. » African Music 6 (4): 53–89.</w:t>
      </w:r>
    </w:p>
    <w:p>
      <w:pPr>
        <w:spacing w:after="80" w:line="260"/>
        <w:ind w:left="360" w:hanging="360"/>
      </w:pPr>
      <w:r>
        <w:rPr>
          <w:sz w:val="20"/>
          <w:szCs w:val="20"/>
        </w:rPr>
        <w:t xml:space="preserve">Lagamma, Alisa. 2021. Sahel: Art and Empires on the Shores of the Sahara. New York: The Metropolitan Museum of Art.</w:t>
      </w:r>
    </w:p>
    <w:p>
      <w:pPr>
        <w:spacing w:after="80" w:line="260"/>
        <w:ind w:left="360" w:hanging="360"/>
      </w:pPr>
      <w:r>
        <w:rPr>
          <w:sz w:val="20"/>
          <w:szCs w:val="20"/>
        </w:rPr>
        <w:t xml:space="preserve">Latour, Bruno. 1990. « Drawing Things Together. » In Representation in Scientific Practice, 19–68. Cambridge, MA: MIT Press.</w:t>
      </w:r>
    </w:p>
    <w:p>
      <w:pPr>
        <w:spacing w:after="80" w:line="260"/>
        <w:ind w:left="360" w:hanging="360"/>
      </w:pPr>
      <w:r>
        <w:rPr>
          <w:sz w:val="20"/>
          <w:szCs w:val="20"/>
        </w:rPr>
        <w:t xml:space="preserve">Layman, Emma, and Nicole Civita. 2022. « Decolonizing Agriculture in the United States. » Agriculture and Human Values 39 (3): 965–978.</w:t>
      </w:r>
    </w:p>
    <w:p>
      <w:pPr>
        <w:spacing w:after="80" w:line="260"/>
        <w:ind w:left="360" w:hanging="360"/>
      </w:pPr>
      <w:r>
        <w:rPr>
          <w:sz w:val="20"/>
          <w:szCs w:val="20"/>
        </w:rPr>
        <w:t xml:space="preserve">Oghazian, Farzaneh, Sam Moradzadeh, and Felecia Davis. 2023. « Form-Finding of Architectural Knitted Tensioned Structures. » In ACADIA 2022, 326–333.</w:t>
      </w:r>
    </w:p>
    <w:p>
      <w:pPr>
        <w:spacing w:after="80" w:line="260"/>
        <w:ind w:left="360" w:hanging="360"/>
      </w:pPr>
      <w:r>
        <w:rPr>
          <w:sz w:val="20"/>
          <w:szCs w:val="20"/>
        </w:rPr>
        <w:t xml:space="preserve">Pais, Alexandre. 2011. « Criticisms and Contradictions of Ethnomathematics. » Educational Studies in Mathematics 76 (2): 209–230.</w:t>
      </w:r>
    </w:p>
    <w:p>
      <w:pPr>
        <w:spacing w:after="80" w:line="260"/>
        <w:ind w:left="360" w:hanging="360"/>
      </w:pPr>
      <w:r>
        <w:rPr>
          <w:sz w:val="20"/>
          <w:szCs w:val="20"/>
        </w:rPr>
        <w:t xml:space="preserve">Robinson, Kwame. 2024. « Computing for Community-Based Economies. » PhD diss., University of Michigan.</w:t>
      </w:r>
    </w:p>
    <w:p>
      <w:pPr>
        <w:spacing w:after="80" w:line="260"/>
        <w:ind w:left="360" w:hanging="360"/>
      </w:pPr>
      <w:r>
        <w:rPr>
          <w:sz w:val="20"/>
          <w:szCs w:val="20"/>
        </w:rPr>
        <w:t xml:space="preserve">Rudge, Alice. 2019. « Flexibility and Egalitarianism: Musical Insights from Hunter-Gatherers. » Ethnomusicology Forum 28 (2): 163–183.</w:t>
      </w:r>
    </w:p>
    <w:p>
      <w:pPr>
        <w:spacing w:after="80" w:line="260"/>
        <w:ind w:left="360" w:hanging="360"/>
      </w:pPr>
      <w:r>
        <w:rPr>
          <w:sz w:val="20"/>
          <w:szCs w:val="20"/>
        </w:rPr>
        <w:t xml:space="preserve">Schildkrout, Enid, and Curtis A. Keim. 1990. African Reflections: Art from Northeastern Zaire. Seattle: University of Washington Press.</w:t>
      </w:r>
    </w:p>
    <w:p>
      <w:pPr>
        <w:spacing w:after="80" w:line="260"/>
        <w:ind w:left="360" w:hanging="360"/>
      </w:pPr>
      <w:r>
        <w:rPr>
          <w:sz w:val="20"/>
          <w:szCs w:val="20"/>
        </w:rPr>
        <w:t xml:space="preserve">Slogar, Christopher. 2007. « Early ceramics from Calabar, Nigeria: towards a history of nsibidi. » African Arts 40 (1): 18.</w:t>
      </w:r>
    </w:p>
    <w:p>
      <w:pPr>
        <w:spacing w:after="80" w:line="260"/>
        <w:ind w:left="360" w:hanging="360"/>
      </w:pPr>
      <w:r>
        <w:rPr>
          <w:sz w:val="20"/>
          <w:szCs w:val="20"/>
        </w:rPr>
        <w:t xml:space="preserve">Steil, Carlos Alberto, and Isabel Cristina de Moura Carvalho. 2014. « Epistemologias Ecológicas: Delimitando um Conceito. » Mana 20 (1): 163–183.</w:t>
      </w:r>
    </w:p>
    <w:p>
      <w:pPr>
        <w:spacing w:after="80" w:line="260"/>
        <w:ind w:left="360" w:hanging="360"/>
      </w:pPr>
      <w:r>
        <w:rPr>
          <w:sz w:val="20"/>
          <w:szCs w:val="20"/>
        </w:rPr>
        <w:t xml:space="preserve">Stewart, Felicia. 2021. « Cross My Heart and Hope to Die in Wakanda: Expressions of Solidarity in Black Panther. » In Why Wakanda Matters, 3–16. Dallas: BenBella Books.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a1a1a"/>
      <w:sz w:val="34"/>
      <w:szCs w:val="34"/>
    </w:rPr>
  </w:style>
  <w:style w:type="paragraph" w:styleId="Heading1">
    <w:name w:val="Heading 1"/>
    <w:basedOn w:val="Normal"/>
    <w:next w:val="Normal"/>
    <w:qFormat/>
    <w:rPr>
      <w:b/>
      <w:bCs/>
      <w:color w:val="2a2a2a"/>
      <w:sz w:val="28"/>
      <w:szCs w:val="28"/>
    </w:rPr>
  </w:style>
  <w:style w:type="paragraph" w:styleId="Heading2">
    <w:name w:val="Heading 2"/>
    <w:basedOn w:val="Normal"/>
    <w:next w:val="Normal"/>
    <w:qFormat/>
    <w:rPr>
      <w:b/>
      <w:bCs/>
      <w:color w:val="3a3a3a"/>
      <w:sz w:val="24"/>
      <w:szCs w:val="24"/>
    </w:rPr>
  </w:style>
  <w:style w:type="paragraph" w:styleId="Heading3">
    <w:name w:val="Heading 3"/>
    <w:basedOn w:val="Normal"/>
    <w:next w:val="Normal"/>
    <w:qFormat/>
    <w:rPr>
      <w:i/>
      <w:i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L'entrelacs africain comme grilles dynamiques (traduction FR)</dc:title>
  <dc:creator>Traduction</dc:creator>
  <cp:lastModifiedBy>Un-named</cp:lastModifiedBy>
  <cp:revision>1</cp:revision>
  <dcterms:created xsi:type="dcterms:W3CDTF">2026-07-01T09:58:53.001Z</dcterms:created>
  <dcterms:modified xsi:type="dcterms:W3CDTF">2026-07-01T09:58:53.013Z</dcterms:modified>
</cp:coreProperties>
</file>

<file path=docProps/custom.xml><?xml version="1.0" encoding="utf-8"?>
<Properties xmlns="http://schemas.openxmlformats.org/officeDocument/2006/custom-properties" xmlns:vt="http://schemas.openxmlformats.org/officeDocument/2006/docPropsVTypes"/>
</file>