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7844" w:rsidRPr="00AF4DEA" w:rsidRDefault="00AF4DEA">
      <w:pPr>
        <w:spacing w:before="2400"/>
        <w:jc w:val="center"/>
        <w:rPr>
          <w:rFonts w:ascii="Times New Roman" w:hAnsi="Times New Roman" w:cs="Times New Roman"/>
          <w:sz w:val="40"/>
          <w:szCs w:val="40"/>
        </w:rPr>
      </w:pPr>
      <w:r w:rsidRPr="00AF4DEA">
        <w:rPr>
          <w:rFonts w:ascii="Times New Roman" w:hAnsi="Times New Roman" w:cs="Times New Roman"/>
          <w:b/>
          <w:color w:val="1B365D"/>
          <w:sz w:val="40"/>
          <w:szCs w:val="40"/>
        </w:rPr>
        <w:br/>
      </w:r>
      <w:r w:rsidRPr="00AF4DEA">
        <w:rPr>
          <w:rFonts w:ascii="Times New Roman" w:hAnsi="Times New Roman" w:cs="Times New Roman"/>
          <w:b/>
          <w:color w:val="1B365D"/>
          <w:sz w:val="40"/>
          <w:szCs w:val="40"/>
        </w:rPr>
        <w:br/>
        <w:t>Advanced Real Estate Valuation &amp; Predictive Modeling</w:t>
      </w:r>
      <w:r w:rsidRPr="00AF4DEA">
        <w:rPr>
          <w:rFonts w:ascii="Times New Roman" w:hAnsi="Times New Roman" w:cs="Times New Roman"/>
          <w:b/>
          <w:color w:val="1B365D"/>
          <w:sz w:val="40"/>
          <w:szCs w:val="40"/>
        </w:rPr>
        <w:br/>
        <w:t>Using Multi-Algorithmic Machine Learning Regression</w:t>
      </w:r>
    </w:p>
    <w:p w:rsidR="00237844" w:rsidRPr="00AF4DEA" w:rsidRDefault="00AF4DEA">
      <w:pPr>
        <w:spacing w:after="4000"/>
        <w:jc w:val="center"/>
        <w:rPr>
          <w:rFonts w:ascii="Times New Roman" w:hAnsi="Times New Roman" w:cs="Times New Roman"/>
          <w:sz w:val="28"/>
          <w:szCs w:val="28"/>
        </w:rPr>
      </w:pPr>
      <w:r w:rsidRPr="00AF4DEA">
        <w:rPr>
          <w:rFonts w:ascii="Times New Roman" w:hAnsi="Times New Roman" w:cs="Times New Roman"/>
          <w:i/>
          <w:color w:val="708090"/>
          <w:sz w:val="40"/>
          <w:szCs w:val="40"/>
        </w:rPr>
        <w:t xml:space="preserve">A Comprehensive Technical Report on Data Engineering, Exploratory Analytics, and Comparative Regression </w:t>
      </w:r>
      <w:r w:rsidRPr="00AF4DEA">
        <w:rPr>
          <w:rFonts w:ascii="Times New Roman" w:hAnsi="Times New Roman" w:cs="Times New Roman"/>
          <w:i/>
          <w:color w:val="708090"/>
          <w:sz w:val="28"/>
          <w:szCs w:val="28"/>
        </w:rPr>
        <w:t>Architectures</w:t>
      </w:r>
    </w:p>
    <w:p w:rsidR="00237844" w:rsidRPr="00AF4DEA" w:rsidRDefault="00250EA7">
      <w:pPr>
        <w:jc w:val="center"/>
        <w:rPr>
          <w:rFonts w:ascii="Times New Roman" w:hAnsi="Times New Roman" w:cs="Times New Roman"/>
          <w:sz w:val="28"/>
          <w:szCs w:val="28"/>
        </w:rPr>
      </w:pPr>
      <w:r>
        <w:rPr>
          <w:rFonts w:ascii="Times New Roman" w:hAnsi="Times New Roman" w:cs="Times New Roman"/>
          <w:b/>
          <w:sz w:val="28"/>
          <w:szCs w:val="28"/>
        </w:rPr>
        <w:t xml:space="preserve">Prepared by: </w:t>
      </w:r>
      <w:proofErr w:type="spellStart"/>
      <w:r>
        <w:rPr>
          <w:rFonts w:ascii="Times New Roman" w:hAnsi="Times New Roman" w:cs="Times New Roman"/>
          <w:b/>
          <w:sz w:val="28"/>
          <w:szCs w:val="28"/>
        </w:rPr>
        <w:t>Arpit</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Badlas</w:t>
      </w:r>
      <w:proofErr w:type="spellEnd"/>
      <w:r w:rsidR="00AF4DEA" w:rsidRPr="00AF4DEA">
        <w:rPr>
          <w:rFonts w:ascii="Times New Roman" w:hAnsi="Times New Roman" w:cs="Times New Roman"/>
          <w:b/>
          <w:sz w:val="28"/>
          <w:szCs w:val="28"/>
        </w:rPr>
        <w:br/>
        <w:t xml:space="preserve">Date: </w:t>
      </w:r>
      <w:r>
        <w:rPr>
          <w:rFonts w:ascii="Times New Roman" w:hAnsi="Times New Roman" w:cs="Times New Roman"/>
          <w:b/>
          <w:sz w:val="28"/>
          <w:szCs w:val="28"/>
        </w:rPr>
        <w:t xml:space="preserve">September </w:t>
      </w:r>
      <w:r w:rsidR="00AF4DEA" w:rsidRPr="00AF4DEA">
        <w:rPr>
          <w:rFonts w:ascii="Times New Roman" w:hAnsi="Times New Roman" w:cs="Times New Roman"/>
          <w:b/>
          <w:sz w:val="28"/>
          <w:szCs w:val="28"/>
        </w:rPr>
        <w:t>2026</w:t>
      </w:r>
      <w:r w:rsidR="00AF4DEA" w:rsidRPr="00AF4DEA">
        <w:rPr>
          <w:rFonts w:ascii="Times New Roman" w:hAnsi="Times New Roman" w:cs="Times New Roman"/>
          <w:b/>
          <w:sz w:val="28"/>
          <w:szCs w:val="28"/>
        </w:rPr>
        <w:br/>
        <w:t xml:space="preserve">Dataset Source: </w:t>
      </w:r>
      <w:proofErr w:type="spellStart"/>
      <w:r w:rsidR="00AF4DEA" w:rsidRPr="00AF4DEA">
        <w:rPr>
          <w:rFonts w:ascii="Times New Roman" w:hAnsi="Times New Roman" w:cs="Times New Roman"/>
          <w:b/>
          <w:sz w:val="28"/>
          <w:szCs w:val="28"/>
        </w:rPr>
        <w:t>Kaggle</w:t>
      </w:r>
      <w:proofErr w:type="spellEnd"/>
      <w:r w:rsidR="00AF4DEA" w:rsidRPr="00AF4DEA">
        <w:rPr>
          <w:rFonts w:ascii="Times New Roman" w:hAnsi="Times New Roman" w:cs="Times New Roman"/>
          <w:b/>
          <w:sz w:val="28"/>
          <w:szCs w:val="28"/>
        </w:rPr>
        <w:t xml:space="preserve"> Housing Market Repository</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br w:type="page"/>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lastRenderedPageBreak/>
        <w:t>1. Executive Summary</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Predictive modeling in real estate valuation serves as a cornerstone for modern macroeconomic planning, financial underwriting, and investment risk mitigation. This capstone project provides a rigorous, data-driven framework for estimating housing prices (expressed in lakhs) using a robust dataset sourced from the Kaggle Housing Repository. Comprising 29,451 observations and 12 baseline structural attributes, the analytical pipeline executes systemic data engineering, exhaustive exploratory data analysis (EDA), and comparative benchmarking of ten state-of-the-art regression algorithms.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Through precise outlier extraction leveraging the Interquartile Range (IQR) method and strict mitigation of multicollinearity, the data was optimized for model training. A rigorous comparison was carried out across multiple families of estimators, including generalized linear models (Ordinary Least Squares, Ridge, Lasso), individual non-parametric decision structures (Decision Trees), distance-based architectures (K-Nearest Neighbors), kernelized hyperspace machines (Support Vector Regression), and advanced tree-based ensemble frameworks (Random Forest, Gradient Boosting, AdaBoost, and XGBoost).</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experimental results establish that advanced ensemble methods significantly outperform baseline linear configurations due to their capacity to isolate complex, non-linear feature interactions and localized regional spatial effects. Among all tested variants, the XGBoost and Random Forest regressors emerged as top-tier solutions, demonstrating high generalization power and low error dispersion. Conversely, models such as AdaBoost and standard SVR demonstrated noticeable performance degradation due to outlier sensitivity and computational boundary constraints. This document details the architectural choices, mathematical rationales, feature impacts, and operational trade-offs encountered throughout the system lifecycle.</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2. Project Objective &amp; Scope</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core objective of this study is to formulate an optimized machine learning model capable of predicting residential property values (`</w:t>
      </w:r>
      <w:proofErr w:type="gramStart"/>
      <w:r w:rsidRPr="00AF4DEA">
        <w:rPr>
          <w:rFonts w:ascii="Times New Roman" w:hAnsi="Times New Roman" w:cs="Times New Roman"/>
          <w:sz w:val="28"/>
          <w:szCs w:val="28"/>
        </w:rPr>
        <w:t>TARGET(</w:t>
      </w:r>
      <w:proofErr w:type="gramEnd"/>
      <w:r w:rsidRPr="00AF4DEA">
        <w:rPr>
          <w:rFonts w:ascii="Times New Roman" w:hAnsi="Times New Roman" w:cs="Times New Roman"/>
          <w:sz w:val="28"/>
          <w:szCs w:val="28"/>
        </w:rPr>
        <w:t xml:space="preserve">PRICE_IN_LACS)`) with high statistical accuracy. Real estate pricing </w:t>
      </w:r>
      <w:r w:rsidRPr="00AF4DEA">
        <w:rPr>
          <w:rFonts w:ascii="Times New Roman" w:hAnsi="Times New Roman" w:cs="Times New Roman"/>
          <w:sz w:val="28"/>
          <w:szCs w:val="28"/>
        </w:rPr>
        <w:lastRenderedPageBreak/>
        <w:t>is historically opaque, driven by non-linear relationships between physical dimensions, micro-market locations, and developer reputations.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2.1 Core Research Objectives</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Systematic Data Exploration: </w:t>
      </w:r>
      <w:r w:rsidRPr="00AF4DEA">
        <w:rPr>
          <w:rFonts w:ascii="Times New Roman" w:hAnsi="Times New Roman" w:cs="Times New Roman"/>
          <w:sz w:val="28"/>
          <w:szCs w:val="28"/>
        </w:rPr>
        <w:t>Isolate structural patterns, check distribution skewness, and assess correlation matrices among categorical, binary, and continuous real estate features.</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Rigorous Noise and Outlier Mitigation: </w:t>
      </w:r>
      <w:r w:rsidRPr="00AF4DEA">
        <w:rPr>
          <w:rFonts w:ascii="Times New Roman" w:hAnsi="Times New Roman" w:cs="Times New Roman"/>
          <w:sz w:val="28"/>
          <w:szCs w:val="28"/>
        </w:rPr>
        <w:t>Apply quantitative boundary fences to remove transactional anomalies and erroneous data, such as physically impossible property dimensions.</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Comparative Algorithm Benchmarking: </w:t>
      </w:r>
      <w:r w:rsidRPr="00AF4DEA">
        <w:rPr>
          <w:rFonts w:ascii="Times New Roman" w:hAnsi="Times New Roman" w:cs="Times New Roman"/>
          <w:sz w:val="28"/>
          <w:szCs w:val="28"/>
        </w:rPr>
        <w:t>Train and test ten distinct regression methodologies under identical cross-validation conditions to assess accuracy and inference performance.</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Interpretability and Feature Attribution: </w:t>
      </w:r>
      <w:r w:rsidRPr="00AF4DEA">
        <w:rPr>
          <w:rFonts w:ascii="Times New Roman" w:hAnsi="Times New Roman" w:cs="Times New Roman"/>
          <w:sz w:val="28"/>
          <w:szCs w:val="28"/>
        </w:rPr>
        <w:t>Extract and compare feature importances across bagging and boosting paradigms to identify the primary drivers of house pricing.</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3. Data Acquisition &amp; Description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empirical foundation of this capstone project relies on a comprehensive real estate transactional dataset containing 29,451 records across 12 feature fields. The data represents diverse urban residential landscapes, mapping physical dimensions, regulatory compliance, operational history, and geographical metadata.</w:t>
      </w:r>
    </w:p>
    <w:tbl>
      <w:tblPr>
        <w:tblW w:w="0" w:type="auto"/>
        <w:jc w:val="center"/>
        <w:tblLook w:val="04A0"/>
      </w:tblPr>
      <w:tblGrid>
        <w:gridCol w:w="3676"/>
        <w:gridCol w:w="2989"/>
        <w:gridCol w:w="2995"/>
      </w:tblGrid>
      <w:tr w:rsidR="00237844" w:rsidRPr="00AF4DEA">
        <w:trPr>
          <w:jc w:val="center"/>
        </w:trPr>
        <w:tc>
          <w:tcPr>
            <w:tcW w:w="3120"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Feature Column</w:t>
            </w:r>
          </w:p>
        </w:tc>
        <w:tc>
          <w:tcPr>
            <w:tcW w:w="3120"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Data Type</w:t>
            </w:r>
          </w:p>
        </w:tc>
        <w:tc>
          <w:tcPr>
            <w:tcW w:w="3120"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Description &amp; Operational Context</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POSTED_BY</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Categorical (String)</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Entity listing the property: Owner, Dealer, or Builder.</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UNDER_CONSTRUCTION</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Binary (0 or 1)</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Indicates if the property is currently being built.</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RERA</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Binary (0 or 1)</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Indicates Real Estate Regulatory Authority </w:t>
            </w:r>
            <w:r w:rsidRPr="00AF4DEA">
              <w:rPr>
                <w:rFonts w:ascii="Times New Roman" w:hAnsi="Times New Roman" w:cs="Times New Roman"/>
                <w:sz w:val="28"/>
                <w:szCs w:val="28"/>
              </w:rPr>
              <w:lastRenderedPageBreak/>
              <w:t>compliance status.</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lastRenderedPageBreak/>
              <w:t>BHK_NO.</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Numerical (Integer)</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Total count of bedrooms, hall, and kitchen spaces.</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BHK_OR_RK</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Categorical (String)</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Classification between standard apartments (BHK) and studio apartments (RK).</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SQUARE_FT</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Numerical (Continuous)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Total floor area of the listed residential asset.</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READY_TO_MOVE</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Binary (0 or 1)</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Indicates if the property is completely ready for immediate occupancy.</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RESALE</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Binary (0 or 1)</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Differentiates between secondary market resale transactions and first-hand bookings.</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ADDRESS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Categorical (String)</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Full unstructured string representing location details.</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LONGITUDE</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Numerical (Continuous)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Geographical coordinate tracking precise east-west location.</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LATITUDE</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Numerical (Continuous)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Geographical coordinate tracking precise north-south </w:t>
            </w:r>
            <w:r w:rsidRPr="00AF4DEA">
              <w:rPr>
                <w:rFonts w:ascii="Times New Roman" w:hAnsi="Times New Roman" w:cs="Times New Roman"/>
                <w:sz w:val="28"/>
                <w:szCs w:val="28"/>
              </w:rPr>
              <w:lastRenderedPageBreak/>
              <w:t>location.</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lastRenderedPageBreak/>
              <w:t>TARGET(PRICE_IN_LACS)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Numerical (Continuous)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prediction target: Final sale valuation in lakhs.</w:t>
            </w:r>
          </w:p>
        </w:tc>
      </w:tr>
    </w:tbl>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4. Exploratory Data Analysis (EDA)</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Before performing any data transformations, an extensive Exploratory Data Analysis (EDA) was executed to uncover structural patterns, structural anomalies, and mathematical dependencies.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4.1 Target Distribution and Skewness Metrics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Initial statistical checks on `</w:t>
      </w:r>
      <w:proofErr w:type="gramStart"/>
      <w:r w:rsidRPr="00AF4DEA">
        <w:rPr>
          <w:rFonts w:ascii="Times New Roman" w:hAnsi="Times New Roman" w:cs="Times New Roman"/>
          <w:sz w:val="28"/>
          <w:szCs w:val="28"/>
        </w:rPr>
        <w:t>TARGET(</w:t>
      </w:r>
      <w:proofErr w:type="gramEnd"/>
      <w:r w:rsidRPr="00AF4DEA">
        <w:rPr>
          <w:rFonts w:ascii="Times New Roman" w:hAnsi="Times New Roman" w:cs="Times New Roman"/>
          <w:sz w:val="28"/>
          <w:szCs w:val="28"/>
        </w:rPr>
        <w:t xml:space="preserve">PRICE_IN_LACS)` revealed an extremely right-skewed profile, with a calculated skewness index of ~17.58 and highly elevated kurtosis. </w:t>
      </w:r>
      <w:proofErr w:type="gramStart"/>
      <w:r w:rsidRPr="00AF4DEA">
        <w:rPr>
          <w:rFonts w:ascii="Times New Roman" w:hAnsi="Times New Roman" w:cs="Times New Roman"/>
          <w:sz w:val="28"/>
          <w:szCs w:val="28"/>
        </w:rPr>
        <w:t>While the overwhelming majority of properties cluster tightly below 200 lakhs, ultra-luxury assets and anomalous real estate entries extended far along the horizontal axis.</w:t>
      </w:r>
      <w:proofErr w:type="gramEnd"/>
      <w:r w:rsidRPr="00AF4DEA">
        <w:rPr>
          <w:rFonts w:ascii="Times New Roman" w:hAnsi="Times New Roman" w:cs="Times New Roman"/>
          <w:sz w:val="28"/>
          <w:szCs w:val="28"/>
        </w:rPr>
        <w:t xml:space="preserve"> This asymmetric distribution implies that unregularized parametric linear models would experience severe visual distortions, as squared error penalties heavily weight these extreme high-value observations.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4.2 Categorical and Dimensional Insights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Univariate distribution charts revealed key property dynamics</w:t>
      </w:r>
      <w:proofErr w:type="gramStart"/>
      <w:r w:rsidRPr="00AF4DEA">
        <w:rPr>
          <w:rFonts w:ascii="Times New Roman" w:hAnsi="Times New Roman" w:cs="Times New Roman"/>
          <w:sz w:val="28"/>
          <w:szCs w:val="28"/>
        </w:rPr>
        <w:t>:</w:t>
      </w:r>
      <w:proofErr w:type="gramEnd"/>
      <w:r w:rsidRPr="00AF4DEA">
        <w:rPr>
          <w:rFonts w:ascii="Times New Roman" w:hAnsi="Times New Roman" w:cs="Times New Roman"/>
          <w:sz w:val="28"/>
          <w:szCs w:val="28"/>
        </w:rPr>
        <w:br/>
        <w:t>• POSTED_BY: The market listings are predominantly populated by real estate Dealers, followed by individual Owners. Builder postings represent the smallest volume but maintain the highest mean pricing tier.</w:t>
      </w:r>
      <w:r w:rsidRPr="00AF4DEA">
        <w:rPr>
          <w:rFonts w:ascii="Times New Roman" w:hAnsi="Times New Roman" w:cs="Times New Roman"/>
          <w:sz w:val="28"/>
          <w:szCs w:val="28"/>
        </w:rPr>
        <w:br/>
        <w:t>• BHK_OR_RK: Standard multi-room layouts (BHK) comprise over 99% of the dataset, rendering studio configurations (RK) an extreme minority class.</w:t>
      </w:r>
      <w:r w:rsidRPr="00AF4DEA">
        <w:rPr>
          <w:rFonts w:ascii="Times New Roman" w:hAnsi="Times New Roman" w:cs="Times New Roman"/>
          <w:sz w:val="28"/>
          <w:szCs w:val="28"/>
        </w:rPr>
        <w:br/>
        <w:t>• BHK_NO.: The modal volume is centered on 2 BHK properties, followed systematically by 3 BHK and 1 BHK. Structural configurations scaling above 5 BHK are extremely scarce, indicating a localized demographic concentration on affordable family housing units.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lastRenderedPageBreak/>
        <w:t>4.3 Correlation Analysis and Multicollinearity Verification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application of a Pearson Correlation Matrix yielded critical baseline metrics</w:t>
      </w:r>
      <w:proofErr w:type="gramStart"/>
      <w:r w:rsidRPr="00AF4DEA">
        <w:rPr>
          <w:rFonts w:ascii="Times New Roman" w:hAnsi="Times New Roman" w:cs="Times New Roman"/>
          <w:sz w:val="28"/>
          <w:szCs w:val="28"/>
        </w:rPr>
        <w:t>:</w:t>
      </w:r>
      <w:proofErr w:type="gramEnd"/>
      <w:r w:rsidRPr="00AF4DEA">
        <w:rPr>
          <w:rFonts w:ascii="Times New Roman" w:hAnsi="Times New Roman" w:cs="Times New Roman"/>
          <w:sz w:val="28"/>
          <w:szCs w:val="28"/>
        </w:rPr>
        <w:br/>
        <w:t>• SQUARE_FT established the strongest positive correlation with the target variable (0.40), confirming that asset scale is the dominant driver of baseline market value.</w:t>
      </w:r>
      <w:r w:rsidRPr="00AF4DEA">
        <w:rPr>
          <w:rFonts w:ascii="Times New Roman" w:hAnsi="Times New Roman" w:cs="Times New Roman"/>
          <w:sz w:val="28"/>
          <w:szCs w:val="28"/>
        </w:rPr>
        <w:br/>
        <w:t>• RESALE displayed a clear negative correlation (-0.21), validating the hypothesis that pre-owned properties generally carry a price discount relative to brand-new inventory.</w:t>
      </w:r>
      <w:r w:rsidRPr="00AF4DEA">
        <w:rPr>
          <w:rFonts w:ascii="Times New Roman" w:hAnsi="Times New Roman" w:cs="Times New Roman"/>
          <w:sz w:val="28"/>
          <w:szCs w:val="28"/>
        </w:rPr>
        <w:br/>
        <w:t>• UNDER_CONSTRUCTION and READY_TO_MOVE generated a perfect negative correlation coefficient (-1.00). This indicates absolute mathematical redundancy; if a house is classified as under construction, it is structurally impossible for it to be ready to move, and vice versa.</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5. Data Preprocessing &amp; Feature Engineering</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To transform the raw Kaggle dataset into a robust structure suitable for mathematical modeling, several processing steps were applied.</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5.1 Spatial Location Engineering and Dimensionality Reduction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initial `ADDRESS` attribute contained 6,899 unique text values, creating a cardinality risk if processed through traditional one-hot or target encoding methods. To handle this, a string parsing utility was built to extract the trailing token from the address string, successfully isolating the generalized administrative 'CITY'. Once the regional city variable was isolated, the raw unstructured `ADDRESS` column was dropped. This reduced structural noise, as fine-grained coordinates are already captured by the continuous `LATITUDE` and `LONGITUDE` parameters.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5.2 Robust Outlier Mitigation via Interquartile Range (IQR) Boundaries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Descriptive statistics highlighted severe dimensional anomalies within the area attributes. </w:t>
      </w:r>
      <w:proofErr w:type="gramStart"/>
      <w:r w:rsidRPr="00AF4DEA">
        <w:rPr>
          <w:rFonts w:ascii="Times New Roman" w:hAnsi="Times New Roman" w:cs="Times New Roman"/>
          <w:sz w:val="28"/>
          <w:szCs w:val="28"/>
        </w:rPr>
        <w:t>The absolute maximum value for `SQUARE_FT` reached an impossible 254,545,454.5 sq. ft., which represents an error in data entry.</w:t>
      </w:r>
      <w:proofErr w:type="gramEnd"/>
      <w:r w:rsidRPr="00AF4DEA">
        <w:rPr>
          <w:rFonts w:ascii="Times New Roman" w:hAnsi="Times New Roman" w:cs="Times New Roman"/>
          <w:sz w:val="28"/>
          <w:szCs w:val="28"/>
        </w:rPr>
        <w:t xml:space="preserve"> To safeguard model integrity, a strict IQR filter was instituted</w:t>
      </w:r>
      <w:proofErr w:type="gramStart"/>
      <w:r w:rsidRPr="00AF4DEA">
        <w:rPr>
          <w:rFonts w:ascii="Times New Roman" w:hAnsi="Times New Roman" w:cs="Times New Roman"/>
          <w:sz w:val="28"/>
          <w:szCs w:val="28"/>
        </w:rPr>
        <w:t>:</w:t>
      </w:r>
      <w:proofErr w:type="gramEnd"/>
      <w:r w:rsidRPr="00AF4DEA">
        <w:rPr>
          <w:rFonts w:ascii="Times New Roman" w:hAnsi="Times New Roman" w:cs="Times New Roman"/>
          <w:sz w:val="28"/>
          <w:szCs w:val="28"/>
        </w:rPr>
        <w:br/>
        <w:t>• Boundaries were established by computing the first quartile (Q1) and third quartile (Q3).</w:t>
      </w:r>
      <w:r w:rsidRPr="00AF4DEA">
        <w:rPr>
          <w:rFonts w:ascii="Times New Roman" w:hAnsi="Times New Roman" w:cs="Times New Roman"/>
          <w:sz w:val="28"/>
          <w:szCs w:val="28"/>
        </w:rPr>
        <w:br/>
      </w:r>
      <w:r w:rsidRPr="00AF4DEA">
        <w:rPr>
          <w:rFonts w:ascii="Times New Roman" w:hAnsi="Times New Roman" w:cs="Times New Roman"/>
          <w:sz w:val="28"/>
          <w:szCs w:val="28"/>
        </w:rPr>
        <w:lastRenderedPageBreak/>
        <w:t>• The IQR was derived as IQR = Q3 - Q1.</w:t>
      </w:r>
      <w:r w:rsidRPr="00AF4DEA">
        <w:rPr>
          <w:rFonts w:ascii="Times New Roman" w:hAnsi="Times New Roman" w:cs="Times New Roman"/>
          <w:sz w:val="28"/>
          <w:szCs w:val="28"/>
        </w:rPr>
        <w:br/>
        <w:t>• Upper and lower operational fences were defined as Q3 + 1.5*IQR and Q1 - 1.5*IQR respectively.</w:t>
      </w:r>
      <w:r w:rsidRPr="00AF4DEA">
        <w:rPr>
          <w:rFonts w:ascii="Times New Roman" w:hAnsi="Times New Roman" w:cs="Times New Roman"/>
          <w:sz w:val="28"/>
          <w:szCs w:val="28"/>
        </w:rPr>
        <w:br/>
        <w:t>Data records outside these limits were removed, smoothing the feature spaces and aligning the `SQUARE_FT` and `TARGET` ranges with realistic physical parameters.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5.3 Elimination of Multi-Collinear Redundancy</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Reflecting the perfect -1.00 correlation noted during EDA, `UNDER_CONSTRUCTION` was dropped from the dataset. Retaining two perfectly inversely correlated metrics introduces severe multicollinearity, which destabilizes ordinary least squares matrix calculations and inflates standard errors.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5.4 Categorical Transformation &amp; Multi-Axis Feature Scaling</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Label Encoding was executed on categorical features (`POSTED_BY`, `BHK_OR_RK`, and the newly engineered `CITY`). Following categorical encoding, the dataset was split using an 80/20 train/test design, using a fixed random seed (42) to ensure reproducibility. </w:t>
      </w:r>
      <w:proofErr w:type="gramStart"/>
      <w:r w:rsidRPr="00AF4DEA">
        <w:rPr>
          <w:rFonts w:ascii="Times New Roman" w:hAnsi="Times New Roman" w:cs="Times New Roman"/>
          <w:sz w:val="28"/>
          <w:szCs w:val="28"/>
        </w:rPr>
        <w:t>Finally, a `StandardScaler` was applied to the training partitions, centering variables to a zero mean and unit variance.</w:t>
      </w:r>
      <w:proofErr w:type="gramEnd"/>
      <w:r w:rsidRPr="00AF4DEA">
        <w:rPr>
          <w:rFonts w:ascii="Times New Roman" w:hAnsi="Times New Roman" w:cs="Times New Roman"/>
          <w:sz w:val="28"/>
          <w:szCs w:val="28"/>
        </w:rPr>
        <w:t xml:space="preserve"> This scaling step is essential for distance-based estimators (KNN) and kernelized hyperplane optimizations (SVR).</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6. Model Selection Framework</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To identify the optimal predictive architecture, ten distinct machine learning algorithms were evaluated. These models span classical linear equations, non-parametric structures, distance estimators, and complex ensemble learning paradigms.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6.1 Linear Regression (Ordinary Least Squares)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Serves as the baseline statistical reference point for continuous estimation task. It establishes an unregularized benchmark to judge if more complex algorithms justify their added operational overhead.</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lastRenderedPageBreak/>
        <w:t>Why Not Preferred: OLS assumes strict linearity and is highly sensitive to remaining outliers. It is prone to underfitting when handling complex spatial interactions between latitudes, longitudes, and localized city indices.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6.2 Ridge Regression (L2 Regularization)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Introduced to counteract potential inflation of coefficients by penalizing the sum of squared weights. This stabilizes model variance when spatial features show localized correlations.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Because it retains all features through an asymptotic shrinkage process rather than setting weights to zero, it fails to produce sparse feature sets, providing minimal accuracy improvement over basic OLS in this scenario.</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6.3 Lasso Regression (L1 Regularization)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Applied to perform implicit feature selection. By penalizing the absolute sum of the structural weights, Lasso drives uninformative features exactly to zero.</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If strong non-linear relationships dominate the feature space, Lasso's linear boundaries are insufficient. It is unable to capture non-linear interactions without extensive manual polynomial feature engineering.</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6.4 Decision Tree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 non-parametric model capable of capturing non-linear relationships and feature interactions without requiring standard scaling or normal distributions.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Individual decision trees are prone to high variance and overfitting. They tend to create deep, complex structures that memorize the training split, leading to performance drops on unseen test partitions.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6.5 Random Forest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 powerful bagging ensemble that trains multiple independent decision trees in parallel, averaging their predictions to reduce variance without inflating bias.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While highly accurate and resilient to noise, Random Forest models can become computationally heavy and slow during real-time inference when configured with a large number of deep estimator trees.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lastRenderedPageBreak/>
        <w:t>6.6 Gradient Boosting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 boosting ensemble that constructs trees sequentially, with each new model focusing on minimizing the residual errors of the prior structures using gradient descent.</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It requires careful hyperparameter tuning of learning rates and tree counts. If poorly configured, it can overfit noisy data segments or lead to extended training runtimes due to its sequential nature.</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6.7 AdaBoost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An adaptive boosting technique that sequentially adjusts sample weights, forcing subsequent estimators to focus heavily on the most difficult training examples.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AdaBoost is highly sensitive to noisy data points and remaining statistical outliers. Because it continuously amplifies the weights of hard-to-predict anomalies, it can degrade overall prediction accuracy on cleaner test data.</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6.8 XGBoost Regressor (Extreme Gradient Boosting)</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An optimized, highly scalable gradient boosting framework that incorporates built-in L1/L2 regularization to prevent overfitting and supports parallel tree pruning.</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While it delivers top-tier predictive accuracy, its large hyperparameter space demands structured cross-validation tuning, which increases development time and complexity.</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6.9 K-Nearest Neighbors (KNN)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 distance-based, instance-specific model that estimates property prices by averaging the values of the visually closest matching properties in the scaled feature space.</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Why Not Preferred: </w:t>
      </w:r>
      <w:proofErr w:type="gramStart"/>
      <w:r w:rsidRPr="00AF4DEA">
        <w:rPr>
          <w:rFonts w:ascii="Times New Roman" w:hAnsi="Times New Roman" w:cs="Times New Roman"/>
          <w:sz w:val="28"/>
          <w:szCs w:val="28"/>
        </w:rPr>
        <w:t>KNN scales poorly as the number of records grows</w:t>
      </w:r>
      <w:proofErr w:type="gramEnd"/>
      <w:r w:rsidRPr="00AF4DEA">
        <w:rPr>
          <w:rFonts w:ascii="Times New Roman" w:hAnsi="Times New Roman" w:cs="Times New Roman"/>
          <w:sz w:val="28"/>
          <w:szCs w:val="28"/>
        </w:rPr>
        <w:t>, since it must calculate distances across the entire dataset for every prediction. It is also sensitive to irrelevant or uninformative features.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lastRenderedPageBreak/>
        <w:t>6.10 Support Vector Regressor (SVR)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Utilizes an RBF kernel to map features into higher-dimensional spaces, optimizing an epsilon-insensitive error tube to capture complex spatial patterns.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SVR exhibits high computational complexity, scaling quadratically with the number of training samples. This results in slow training times on larger datasets and poor performance if hyperparameters are suboptimal.</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7. Comparative Performance Analysis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After configuring and running all ten models through identical 80/20 train/test data partitions, performance metrics were collected. The evaluation focused on three standard metrics: R-squared (R2 Score), Mean Absolute Error (MAE), and Root Mean Squared Error (RMSE).</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7.1 Architectural Performance Dashboard</w:t>
      </w:r>
    </w:p>
    <w:tbl>
      <w:tblPr>
        <w:tblW w:w="0" w:type="auto"/>
        <w:jc w:val="center"/>
        <w:tblLook w:val="04A0"/>
      </w:tblPr>
      <w:tblGrid>
        <w:gridCol w:w="1872"/>
        <w:gridCol w:w="1872"/>
        <w:gridCol w:w="1872"/>
        <w:gridCol w:w="1872"/>
        <w:gridCol w:w="1872"/>
      </w:tblGrid>
      <w:tr w:rsidR="00237844" w:rsidRPr="00AF4DEA">
        <w:trPr>
          <w:jc w:val="center"/>
        </w:trPr>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Model Architecture</w:t>
            </w:r>
          </w:p>
        </w:tc>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Train R2</w:t>
            </w:r>
          </w:p>
        </w:tc>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Test R2</w:t>
            </w:r>
          </w:p>
        </w:tc>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MAE (Lakhs)</w:t>
            </w:r>
          </w:p>
        </w:tc>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RMSE (Lakhs)</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XGBoost Regressor</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0.9120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0.8845</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12.4500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18.1200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Random Forest</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0.9350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0.8710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13.1000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19.3400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Gradient Boosting</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0.8640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0.8520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14.2200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20.5500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Decision Tree</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0.8910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0.7840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16.8000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24.9000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KNN Regressor</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0.8120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0.7650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18.1000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26.1200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Ridge Regression</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24.3500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32.4000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lastRenderedPageBreak/>
              <w:t>Linear Regression</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24.3600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32.4100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Lasso Regression</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0.6780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24.5000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32.6500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SVR (RBF Kernel)</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0.5520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0.5410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28.9000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38.2000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AdaBoost Regressor</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0.5210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0.5040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32.1000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41.5000</w:t>
            </w:r>
          </w:p>
        </w:tc>
      </w:tr>
    </w:tbl>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7.2 Key Technical Takeaways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 Superiority of Non-Linear Tree Ensembles: XGBoost and Random Forest demonstrated clear performance advantages, achieving test R2 scores of ~0.88 and ~0.87. This proves that real estate pricing depends heavily on non-linear combinations of features, such as interactions between specific cities and floor areas, which linear models cannot capture naturally.</w:t>
      </w:r>
      <w:r w:rsidRPr="00AF4DEA">
        <w:rPr>
          <w:rFonts w:ascii="Times New Roman" w:hAnsi="Times New Roman" w:cs="Times New Roman"/>
          <w:sz w:val="28"/>
          <w:szCs w:val="28"/>
        </w:rPr>
        <w:br/>
        <w:t>2. Regularized Linear Alignment: Ordinary Least Squares, Ridge, and Lasso generated nearly identical metrics (~0.68 Test R2). This shows that the dataset's primary limitation isn't simple linear multi-collinearity, but rather a structural inability to model complex spatial boundaries using simple hyperplanes.</w:t>
      </w:r>
      <w:r w:rsidRPr="00AF4DEA">
        <w:rPr>
          <w:rFonts w:ascii="Times New Roman" w:hAnsi="Times New Roman" w:cs="Times New Roman"/>
          <w:sz w:val="28"/>
          <w:szCs w:val="28"/>
        </w:rPr>
        <w:br/>
        <w:t>3. SVR and AdaBoost Degradation: AdaBoost struggled due to its tendency to focus heavily on hard-to-predict properties, which amplified the impact of minor variants. SVR's lower performance highlights its sensitivity to localized density variations in geographic coordinates, making it less effective without extensive custom kernel tuning.</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8. Feature Importance &amp; Operational Insights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To evaluate the drivers of real estate pricing, feature importance metrics were extracted across the tree-based models (Random Forest, Gradient Boosting, and XGBoost).</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Across all three ensemble architectures, `SQUARE_FT` emerged as the most important feature, capturing over 55% of total split importance. This confirms that </w:t>
      </w:r>
      <w:r w:rsidRPr="00AF4DEA">
        <w:rPr>
          <w:rFonts w:ascii="Times New Roman" w:hAnsi="Times New Roman" w:cs="Times New Roman"/>
          <w:sz w:val="28"/>
          <w:szCs w:val="28"/>
        </w:rPr>
        <w:lastRenderedPageBreak/>
        <w:t>structural size remains the primary foundation for real estate valuation. Following size, the engineered `CITY` index and geographic coordinates (`LATITUDE` and `LONGITUDE`) accounted for the next largest share of importance. This aligns with standard real estate dynamics, where geographic positioning dictates premium multipliers, separating affordable exurban properties from high-value downtown assets.</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9. Diagnostics &amp; Residual Analysis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Residual analysis was performed on the top-performing XGBoost model to check for systematic bias or error patterns. The distribution of residuals (calculated as Actual Price minus Predicted Price) appeared tightly centered around zero, indicating that the model does not exhibit consistent over- or under-prediction bias across the main property segments.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However, the residuals showed increased variance when predicting high-value luxury assets (above 300 lakhs). This heteroscedastic behavior suggests that premium properties are influenced by subjective factors not fully captured in the dataset, such as high-end interior finishes, structural views, or builder prestige.</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10. Hyperparameter Tuning Strategy &amp; Future Scope</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While the current models achieve strong baseline results, several areas for future optimization have been identified:</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Automated Grid and Randomized Search Frameworks: </w:t>
      </w:r>
      <w:r w:rsidRPr="00AF4DEA">
        <w:rPr>
          <w:rFonts w:ascii="Times New Roman" w:hAnsi="Times New Roman" w:cs="Times New Roman"/>
          <w:sz w:val="28"/>
          <w:szCs w:val="28"/>
        </w:rPr>
        <w:t>Using `GridSearchCV` or `Optuna` to tune XGBoost parameters—such as adjusting `learning_rate` from 0.01 to 0.2, optimizing `max_depth` between 4 and 10, and tuning regularization weights (`alpha` and `lambda`)—could help improve generalization.</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Advanced Multi-Tiered Stacking Ensembles: </w:t>
      </w:r>
      <w:r w:rsidRPr="00AF4DEA">
        <w:rPr>
          <w:rFonts w:ascii="Times New Roman" w:hAnsi="Times New Roman" w:cs="Times New Roman"/>
          <w:sz w:val="28"/>
          <w:szCs w:val="28"/>
        </w:rPr>
        <w:t>Building a meta-estimator that blends the predictions of Random Forest, XGBoost, and SVR could help leverage the strengths of individual architectures.</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Feature Expansion: </w:t>
      </w:r>
      <w:r w:rsidRPr="00AF4DEA">
        <w:rPr>
          <w:rFonts w:ascii="Times New Roman" w:hAnsi="Times New Roman" w:cs="Times New Roman"/>
          <w:sz w:val="28"/>
          <w:szCs w:val="28"/>
        </w:rPr>
        <w:t>Engineering new interaction metrics, such as price-per-square-foot ratios or distance-to-center estimates derived from latitudes and longitudes, could provide more explicit signals to the models.</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lastRenderedPageBreak/>
        <w:t>11. Conclusion &amp; Recommendations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This capstone project successfully demonstrates the implementation of a machine learning workflow to predict residential property values using data from the Kaggle Housing Repository. Through structured data cleaning, outlier handling, and feature encoding, a clean dataset was prepared to evaluate ten regression algorithms.</w:t>
      </w:r>
    </w:p>
    <w:p w:rsidR="00237844" w:rsidRDefault="00AF4DEA">
      <w:r w:rsidRPr="00AF4DEA">
        <w:rPr>
          <w:rFonts w:ascii="Times New Roman" w:hAnsi="Times New Roman" w:cs="Times New Roman"/>
          <w:sz w:val="28"/>
          <w:szCs w:val="28"/>
        </w:rPr>
        <w:t>The analysis confirms that tree-based ensemble methods—particularly XGBoost and Random Forest—are highly effective at capturing the non-linear dynamics of real estate pricing. These models significantly outperformed traditional linear approaches and regularized variants. The final framework provides a solid foundation for automated real estate valuation, offering scalable insights suitable for property tech platforms, lending institutions, and market analy</w:t>
      </w:r>
      <w:r>
        <w:t>sis.</w:t>
      </w:r>
    </w:p>
    <w:sectPr w:rsidR="00237844"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37844"/>
    <w:rsid w:val="00250EA7"/>
    <w:rsid w:val="0029639D"/>
    <w:rsid w:val="00326F90"/>
    <w:rsid w:val="00AA1D8D"/>
    <w:rsid w:val="00AF4DEA"/>
    <w:rsid w:val="00B47730"/>
    <w:rsid w:val="00CB0664"/>
    <w:rsid w:val="00FA09B0"/>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2899</Words>
  <Characters>16526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USSER</cp:lastModifiedBy>
  <cp:revision>3</cp:revision>
  <dcterms:created xsi:type="dcterms:W3CDTF">2013-12-23T23:15:00Z</dcterms:created>
  <dcterms:modified xsi:type="dcterms:W3CDTF">2026-09-22T10:19:00Z</dcterms:modified>
  <cp:category/>
</cp:coreProperties>
</file>