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117917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200979" w:history="1">
        <w:r w:rsidR="00117917" w:rsidRPr="001A0288">
          <w:rPr>
            <w:rStyle w:val="Hyperlink"/>
            <w:noProof/>
          </w:rPr>
          <w:t>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Задание на курсовую работу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_Toc484200979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6F7E75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0" w:history="1">
        <w:r w:rsidR="00117917" w:rsidRPr="001A0288">
          <w:rPr>
            <w:rStyle w:val="Hyperlink"/>
            <w:noProof/>
          </w:rPr>
          <w:t>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Абстрактный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6F7E75">
      <w:pPr>
        <w:pStyle w:val="TOC2"/>
        <w:rPr>
          <w:rFonts w:cstheme="minorBidi"/>
          <w:noProof/>
        </w:rPr>
      </w:pPr>
      <w:hyperlink w:anchor="_Toc484200981" w:history="1">
        <w:r w:rsidR="00117917" w:rsidRPr="001A0288">
          <w:rPr>
            <w:rStyle w:val="Hyperlink"/>
            <w:noProof/>
          </w:rPr>
          <w:t>2.1.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Граф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6F7E75">
      <w:pPr>
        <w:pStyle w:val="TOC2"/>
        <w:rPr>
          <w:rFonts w:cstheme="minorBidi"/>
          <w:noProof/>
        </w:rPr>
      </w:pPr>
      <w:hyperlink w:anchor="_Toc484200982" w:history="1">
        <w:r w:rsidR="00117917" w:rsidRPr="001A0288">
          <w:rPr>
            <w:rStyle w:val="Hyperlink"/>
            <w:noProof/>
          </w:rPr>
          <w:t>2.2.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_Toc484200982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6F7E75">
      <w:pPr>
        <w:pStyle w:val="TOC2"/>
        <w:rPr>
          <w:rFonts w:cstheme="minorBidi"/>
          <w:noProof/>
        </w:rPr>
      </w:pPr>
      <w:hyperlink w:anchor="_Toc484200983" w:history="1">
        <w:r w:rsidR="00117917" w:rsidRPr="001A0288">
          <w:rPr>
            <w:rStyle w:val="Hyperlink"/>
            <w:noProof/>
          </w:rPr>
          <w:t>2.3.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Переход к автомату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_Toc484200983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6F7E75">
      <w:pPr>
        <w:pStyle w:val="TOC2"/>
        <w:rPr>
          <w:rFonts w:cstheme="minorBidi"/>
          <w:noProof/>
        </w:rPr>
      </w:pPr>
      <w:hyperlink w:anchor="_Toc484200984" w:history="1">
        <w:r w:rsidR="00117917" w:rsidRPr="001A0288">
          <w:rPr>
            <w:rStyle w:val="Hyperlink"/>
            <w:noProof/>
          </w:rPr>
          <w:t>2.4.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Учет взаимодействия управляющего и операционного автоматов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_Toc484200984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8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6F7E75">
      <w:pPr>
        <w:pStyle w:val="TOC2"/>
        <w:rPr>
          <w:rFonts w:cstheme="minorBidi"/>
          <w:noProof/>
        </w:rPr>
      </w:pPr>
      <w:hyperlink w:anchor="_Toc484200985" w:history="1">
        <w:r w:rsidR="00117917" w:rsidRPr="001A0288">
          <w:rPr>
            <w:rStyle w:val="Hyperlink"/>
            <w:noProof/>
          </w:rPr>
          <w:t>2.5.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Минимизация частичного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_Toc484200985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9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6F7E75">
      <w:pPr>
        <w:pStyle w:val="TOC2"/>
        <w:rPr>
          <w:rFonts w:cstheme="minorBidi"/>
          <w:noProof/>
        </w:rPr>
      </w:pPr>
      <w:hyperlink w:anchor="_Toc484200986" w:history="1">
        <w:r w:rsidR="00117917" w:rsidRPr="001A0288">
          <w:rPr>
            <w:rStyle w:val="Hyperlink"/>
            <w:noProof/>
          </w:rPr>
          <w:t>2.6.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минимального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_Toc484200986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11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6F7E75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7" w:history="1">
        <w:r w:rsidR="00117917" w:rsidRPr="001A0288">
          <w:rPr>
            <w:rStyle w:val="Hyperlink"/>
            <w:noProof/>
            <w:lang w:val="en-US"/>
          </w:rPr>
          <w:t>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Структурный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_Toc484200987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6F7E75">
      <w:pPr>
        <w:pStyle w:val="TOC2"/>
        <w:rPr>
          <w:rFonts w:cstheme="minorBidi"/>
          <w:noProof/>
        </w:rPr>
      </w:pPr>
      <w:hyperlink w:anchor="_Toc484200988" w:history="1">
        <w:r w:rsidR="00117917" w:rsidRPr="001A0288">
          <w:rPr>
            <w:rStyle w:val="Hyperlink"/>
            <w:noProof/>
          </w:rPr>
          <w:t>3.1.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Произвольное кодирование состояний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_Toc484200988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6F7E75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89" w:history="1">
        <w:r w:rsidR="00117917" w:rsidRPr="001A0288">
          <w:rPr>
            <w:rStyle w:val="Hyperlink"/>
            <w:noProof/>
          </w:rPr>
          <w:t>3.1.1.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Кодированная таблица переходов и выходов (ТПВ)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6F7E75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0" w:history="1">
        <w:r w:rsidR="00117917" w:rsidRPr="001A0288">
          <w:rPr>
            <w:rStyle w:val="Hyperlink"/>
            <w:noProof/>
          </w:rPr>
          <w:t>3.1.2.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Таблица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6F7E75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1" w:history="1">
        <w:r w:rsidR="00117917" w:rsidRPr="001A0288">
          <w:rPr>
            <w:rStyle w:val="Hyperlink"/>
            <w:noProof/>
          </w:rPr>
          <w:t>3.1.3.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Совместная минимизация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200979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6F7E75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6F7E75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6F7E75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6F7E75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6F7E75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6F7E75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6F7E75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6F7E75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200980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200981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200982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6F7E75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6F7E75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6F7E75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6F7E75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6F7E75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6F7E75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6F7E75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200983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6F7E75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6F7E75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6F7E75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6F7E75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6F7E75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6F7E75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6F7E75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6F7E75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6F7E75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6F7E75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200984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6F7E75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6F7E75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6F7E75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6F7E75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6F7E75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6F7E75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6F7E75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6F7E75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6F7E75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6F7E75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200985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6F7E75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6F7E75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6F7E75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6F7E75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6F7E75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6F7E75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6F7E75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6F7E75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6F7E75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6F7E75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6F7E75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6F7E75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6F7E75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6F7E75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6F7E75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6F7E75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6F7E75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6F7E75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6F7E75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6F7E75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6F7E75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6F7E75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6F7E75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6F7E75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6F7E75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6F7E75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6F7E75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6F7E75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6F7E75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6F7E75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6F7E75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6F7E75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6F7E75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200986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6F7E75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6F7E75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6F7E75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6F7E75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6F7E75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6F7E75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6F7E75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6F7E75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6F7E75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6F7E75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6F7E75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6F7E75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200987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200988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200989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6F7E75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6F7E75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6F7E75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6F7E75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6F7E75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6F7E75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6F7E75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 построена на основании табл.2.7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6F7E75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6F7E75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200990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6F7E75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6F7E75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200991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6F7E75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6F7E75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6F7E75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6F7E75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6F7E75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6F7E75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6F7E75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6F7E75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6F7E75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6F7E75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6F7E75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6F7E75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6F7E75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6F7E75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6F7E75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6F7E75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6F7E75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6F7E75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6F7E75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6F7E75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895"/>
        <w:gridCol w:w="2070"/>
        <w:gridCol w:w="985"/>
        <w:gridCol w:w="875"/>
        <w:gridCol w:w="875"/>
        <w:gridCol w:w="865"/>
        <w:gridCol w:w="863"/>
        <w:gridCol w:w="865"/>
        <w:gridCol w:w="865"/>
      </w:tblGrid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Ранг</w:t>
            </w:r>
          </w:p>
        </w:tc>
        <w:tc>
          <w:tcPr>
            <w:tcW w:w="2070" w:type="dxa"/>
          </w:tcPr>
          <w:p w:rsidR="00D54975" w:rsidRDefault="006F7E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dxa"/>
          </w:tcPr>
          <w:p w:rsidR="00D54975" w:rsidRDefault="006F7E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6F7E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D54975" w:rsidRDefault="006F7E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6F7E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63" w:type="dxa"/>
          </w:tcPr>
          <w:p w:rsidR="00D54975" w:rsidRDefault="006F7E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6F7E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5" w:type="dxa"/>
          </w:tcPr>
          <w:p w:rsidR="00D54975" w:rsidRDefault="006F7E75" w:rsidP="00D54975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2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C22A6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3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98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4A10E5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4975" w:rsidTr="00D54975">
        <w:tc>
          <w:tcPr>
            <w:tcW w:w="895" w:type="dxa"/>
          </w:tcPr>
          <w:p w:rsidR="00D54975" w:rsidRPr="00D54975" w:rsidRDefault="00D54975" w:rsidP="00D54975">
            <w:pPr>
              <w:pStyle w:val="af5"/>
            </w:pPr>
            <w:r>
              <w:t>4</w:t>
            </w:r>
          </w:p>
        </w:tc>
        <w:tc>
          <w:tcPr>
            <w:tcW w:w="2070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98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7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3" w:type="dxa"/>
          </w:tcPr>
          <w:p w:rsidR="00D54975" w:rsidRPr="00AE5C3F" w:rsidRDefault="00D54975" w:rsidP="00D54975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  <w:tc>
          <w:tcPr>
            <w:tcW w:w="865" w:type="dxa"/>
          </w:tcPr>
          <w:p w:rsidR="00D54975" w:rsidRDefault="00D54975" w:rsidP="00D54975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r>
        <w:lastRenderedPageBreak/>
        <w:t>Проверка результата минимизации</w:t>
      </w:r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6F7E75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6F7E75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6F7E75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6F7E75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6F7E75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=100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6F7E75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6F7E75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3418AF" w:rsidRDefault="006F7E75" w:rsidP="00686713">
      <w:pPr>
        <w:pStyle w:val="a5"/>
        <w:spacing w:before="120"/>
        <w:ind w:firstLine="306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14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15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 xml:space="preserve"> ; </m:t>
        </m:r>
      </m:oMath>
      <w:r w:rsidR="00686713" w:rsidRPr="003418AF">
        <w:rPr>
          <w:rFonts w:eastAsiaTheme="minorEastAsia"/>
          <w:lang w:val="en-US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3418AF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3418AF" w:rsidRDefault="00A32AB7" w:rsidP="001F47AD">
      <w:pPr>
        <w:pStyle w:val="a5"/>
        <w:spacing w:before="120"/>
        <w:ind w:firstLine="252"/>
        <w:rPr>
          <w:rFonts w:eastAsiaTheme="minorEastAsia"/>
          <w:i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133BA9" w:rsidRPr="003418AF" w:rsidRDefault="006F7E75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19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1F47AD" w:rsidRPr="003418AF">
        <w:rPr>
          <w:rFonts w:eastAsiaTheme="minorEastAsia"/>
        </w:rPr>
        <w:t xml:space="preserve"> </w:t>
      </w:r>
    </w:p>
    <w:p w:rsidR="00E324B2" w:rsidRDefault="006F7E75" w:rsidP="001F47AD">
      <w:pPr>
        <w:pStyle w:val="a5"/>
        <w:spacing w:before="120"/>
        <w:ind w:firstLine="32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  <w:lang w:val="en-US"/>
          </w:rPr>
          <m:t xml:space="preserve"> ;</m:t>
        </m:r>
      </m:oMath>
      <w:r w:rsidR="00E324B2">
        <w:rPr>
          <w:rFonts w:eastAsiaTheme="minorEastAsia"/>
          <w:lang w:val="en-US"/>
        </w:rPr>
        <w:t xml:space="preserve"> </w:t>
      </w:r>
    </w:p>
    <w:p w:rsidR="001F47AD" w:rsidRDefault="001F47AD" w:rsidP="00E324B2">
      <w:pPr>
        <w:pStyle w:val="a5"/>
        <w:spacing w:before="120"/>
        <w:ind w:firstLine="261"/>
        <w:rPr>
          <w:rFonts w:eastAsiaTheme="minorEastAsia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lang w:val="en-US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E324B2" w:rsidRPr="00043959" w:rsidRDefault="006F7E75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</m:t>
        </m:r>
      </m:oMath>
      <w:r w:rsidR="00E324B2" w:rsidRPr="00043959">
        <w:rPr>
          <w:rFonts w:eastAsiaTheme="minorEastAsia"/>
        </w:rPr>
        <w:t xml:space="preserve"> </w:t>
      </w:r>
    </w:p>
    <w:p w:rsidR="00043959" w:rsidRDefault="00E324B2" w:rsidP="00CA2AB0">
      <w:pPr>
        <w:pStyle w:val="a5"/>
        <w:spacing w:before="120"/>
        <w:ind w:firstLine="270"/>
        <w:rPr>
          <w:rFonts w:eastAsiaTheme="minorEastAsia"/>
        </w:rPr>
      </w:pPr>
      <w:r w:rsidRPr="00E324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</m:t>
        </m:r>
      </m:oMath>
    </w:p>
    <w:p w:rsidR="007955C9" w:rsidRPr="007955C9" w:rsidRDefault="006F7E75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7955C9" w:rsidRPr="007955C9">
        <w:rPr>
          <w:rFonts w:eastAsiaTheme="minorEastAsia"/>
        </w:rPr>
        <w:t xml:space="preserve"> </w:t>
      </w:r>
    </w:p>
    <w:p w:rsidR="007955C9" w:rsidRPr="007955C9" w:rsidRDefault="006F7E75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ba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e>
            </m:acc>
          </m:e>
        </m:acc>
      </m:oMath>
      <w:r w:rsidR="007955C9" w:rsidRPr="007955C9">
        <w:rPr>
          <w:rFonts w:eastAsiaTheme="minorEastAsia"/>
        </w:rPr>
        <w:t xml:space="preserve"> </w:t>
      </w:r>
    </w:p>
    <w:p w:rsidR="00E324B2" w:rsidRPr="00043959" w:rsidRDefault="006F7E75" w:rsidP="001F47AD">
      <w:pPr>
        <w:pStyle w:val="a5"/>
        <w:spacing w:before="120"/>
        <w:ind w:firstLine="32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E324B2" w:rsidRPr="00043959">
        <w:rPr>
          <w:rFonts w:eastAsiaTheme="minorEastAsia"/>
        </w:rPr>
        <w:t xml:space="preserve"> </w:t>
      </w:r>
    </w:p>
    <w:p w:rsidR="00A94DBE" w:rsidRPr="003418AF" w:rsidRDefault="006F7E75" w:rsidP="003D0579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e>
        </m:acc>
      </m:oMath>
      <w:r w:rsidR="003D0579" w:rsidRPr="003418AF">
        <w:rPr>
          <w:rFonts w:eastAsiaTheme="minorEastAsia"/>
        </w:rPr>
        <w:t xml:space="preserve"> </w:t>
      </w:r>
    </w:p>
    <w:p w:rsidR="003D0579" w:rsidRPr="003418AF" w:rsidRDefault="006F7E75" w:rsidP="003D0579">
      <w:pPr>
        <w:pStyle w:val="a5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19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19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6F7E75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2B754E" w:rsidRPr="003418AF" w:rsidRDefault="006F7E75" w:rsidP="002B754E">
      <w:pPr>
        <w:pStyle w:val="a5"/>
        <w:spacing w:before="120"/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17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acc>
                  </m:e>
                </m:acc>
                <m:r>
                  <w:rPr>
                    <w:rFonts w:ascii="Cambria Math" w:eastAsiaTheme="minorEastAsia" w:hAnsi="Cambria Math"/>
                  </w:rPr>
                  <m:t>∙1</m:t>
                </m:r>
              </m:e>
            </m:acc>
          </m:e>
        </m:acc>
      </m:oMath>
      <w:r w:rsidR="002B754E" w:rsidRPr="003418AF">
        <w:rPr>
          <w:rFonts w:eastAsiaTheme="minorEastAsia"/>
        </w:rPr>
        <w:t xml:space="preserve"> </w:t>
      </w:r>
    </w:p>
    <w:p w:rsidR="00A32AB7" w:rsidRDefault="00725A8E" w:rsidP="00725A8E">
      <w:pPr>
        <w:pStyle w:val="a5"/>
        <w:spacing w:before="120"/>
      </w:pPr>
      <w:r>
        <w:t>Точная оценка сложности в этом случае равна 92.</w:t>
      </w:r>
    </w:p>
    <w:p w:rsidR="00725A8E" w:rsidRDefault="00725A8E" w:rsidP="00725A8E">
      <w:pPr>
        <w:pStyle w:val="a7"/>
        <w:numPr>
          <w:ilvl w:val="1"/>
          <w:numId w:val="38"/>
        </w:numPr>
      </w:pPr>
      <w:r>
        <w:t>Кодирование состояний автомата, направленное на упрощение комбинационной схемы</w:t>
      </w:r>
    </w:p>
    <w:p w:rsidR="00725A8E" w:rsidRDefault="00CD5CD5" w:rsidP="00725A8E">
      <w:pPr>
        <w:pStyle w:val="a5"/>
      </w:pPr>
      <w:r>
        <w:t>Кодирование состояний автомата, направленное на упрощение комбинационной схемы выполним способом, использующим понятие «соседства» состояний.</w:t>
      </w:r>
      <w:r w:rsidR="00D54975">
        <w:t xml:space="preserve"> Для выявления пар состояний, являющихся соседями </w:t>
      </w:r>
      <w:r w:rsidR="00D54975">
        <w:rPr>
          <w:lang w:val="en-US"/>
        </w:rPr>
        <w:t>I</w:t>
      </w:r>
      <w:r w:rsidR="00D54975" w:rsidRPr="00D54975">
        <w:t xml:space="preserve"> </w:t>
      </w:r>
      <w:r w:rsidR="00D54975">
        <w:t xml:space="preserve">и </w:t>
      </w:r>
      <w:r w:rsidR="00D54975">
        <w:rPr>
          <w:lang w:val="en-US"/>
        </w:rPr>
        <w:t>II</w:t>
      </w:r>
      <w:r w:rsidR="00D54975" w:rsidRPr="00D54975">
        <w:t xml:space="preserve"> </w:t>
      </w:r>
      <w:r w:rsidR="00D54975">
        <w:t>рода используем инверсную таблицу переходов (табл.3.2.1)</w:t>
      </w:r>
      <w:r w:rsidR="000341F7">
        <w:t>.</w:t>
      </w:r>
    </w:p>
    <w:p w:rsidR="000341F7" w:rsidRPr="000341F7" w:rsidRDefault="000341F7" w:rsidP="000341F7">
      <w:pPr>
        <w:pStyle w:val="af"/>
        <w:rPr>
          <w:rFonts w:eastAsiaTheme="minorEastAsia"/>
        </w:rPr>
      </w:pPr>
      <w:r>
        <w:rPr>
          <w:rFonts w:eastAsiaTheme="minorEastAsia"/>
        </w:rPr>
        <w:t>Таблица 3.2.1 – Инверсная таблица переходов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1107"/>
        <w:gridCol w:w="984"/>
        <w:gridCol w:w="984"/>
        <w:gridCol w:w="984"/>
        <w:gridCol w:w="986"/>
        <w:gridCol w:w="986"/>
        <w:gridCol w:w="997"/>
        <w:gridCol w:w="1021"/>
        <w:gridCol w:w="1009"/>
      </w:tblGrid>
      <w:tr w:rsidR="000341F7" w:rsidTr="001C1FAC">
        <w:trPr>
          <w:trHeight w:val="352"/>
        </w:trPr>
        <w:tc>
          <w:tcPr>
            <w:tcW w:w="8047" w:type="dxa"/>
            <w:gridSpan w:val="8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1" w:type="dxa"/>
            <w:vMerge w:val="restart"/>
            <w:vAlign w:val="center"/>
          </w:tcPr>
          <w:p w:rsidR="000341F7" w:rsidRDefault="006F7E75" w:rsidP="000341F7">
            <w:pPr>
              <w:pStyle w:val="af5"/>
              <w:rPr>
                <w:rFonts w:eastAsia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429"/>
        </w:trPr>
        <w:tc>
          <w:tcPr>
            <w:tcW w:w="110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000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001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011</w:t>
            </w:r>
          </w:p>
        </w:tc>
        <w:tc>
          <w:tcPr>
            <w:tcW w:w="985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010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110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111</w:t>
            </w:r>
          </w:p>
        </w:tc>
        <w:tc>
          <w:tcPr>
            <w:tcW w:w="987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101</w:t>
            </w:r>
          </w:p>
        </w:tc>
        <w:tc>
          <w:tcPr>
            <w:tcW w:w="1019" w:type="dxa"/>
            <w:vAlign w:val="center"/>
          </w:tcPr>
          <w:p w:rsidR="000341F7" w:rsidRPr="00453002" w:rsidRDefault="000341F7" w:rsidP="00453002">
            <w:pPr>
              <w:pStyle w:val="af5"/>
            </w:pPr>
            <w:r w:rsidRPr="00453002">
              <w:t>100</w:t>
            </w:r>
          </w:p>
        </w:tc>
        <w:tc>
          <w:tcPr>
            <w:tcW w:w="1011" w:type="dxa"/>
            <w:vMerge/>
          </w:tcPr>
          <w:p w:rsidR="000341F7" w:rsidRPr="000341F7" w:rsidRDefault="000341F7" w:rsidP="000341F7">
            <w:pPr>
              <w:pStyle w:val="af5"/>
            </w:pPr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453002" w:rsidRDefault="006F7E75" w:rsidP="00CD5A7E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6F7E75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6F7E75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453002" w:rsidRDefault="006F7E75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6F7E75" w:rsidP="00861DC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6F7E75" w:rsidP="00453002">
            <w:pPr>
              <w:pStyle w:val="af5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453002" w:rsidRDefault="00CD5A7E" w:rsidP="00861DC2">
            <w:pPr>
              <w:pStyle w:val="af5"/>
              <w:rPr>
                <w:rFonts w:eastAsiaTheme="minorEastAsia"/>
                <w:szCs w:val="24"/>
                <w:lang w:val="en-US"/>
              </w:rPr>
            </w:pPr>
            <w:r w:rsidRPr="00453002">
              <w:rPr>
                <w:rFonts w:eastAsiaTheme="minorEastAsia"/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453002" w:rsidRDefault="006F7E75" w:rsidP="0045300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6F7E75" w:rsidP="00CD5A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CD5A7E" w:rsidRDefault="00CD5A7E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6F7E75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6F7E75" w:rsidP="001C1F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C1FAC" w:rsidRDefault="001C1FAC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6F7E75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03"/>
        </w:trPr>
        <w:tc>
          <w:tcPr>
            <w:tcW w:w="1109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6F7E75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7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9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1" w:type="dxa"/>
          </w:tcPr>
          <w:p w:rsidR="000341F7" w:rsidRPr="008131AF" w:rsidRDefault="006F7E75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341F7" w:rsidTr="001C1FAC">
        <w:trPr>
          <w:trHeight w:val="517"/>
        </w:trPr>
        <w:tc>
          <w:tcPr>
            <w:tcW w:w="1109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8131AF" w:rsidRDefault="006F7E75" w:rsidP="00861DC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85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987" w:type="dxa"/>
            <w:vAlign w:val="center"/>
          </w:tcPr>
          <w:p w:rsidR="000341F7" w:rsidRPr="00105F40" w:rsidRDefault="00105F40" w:rsidP="00861DC2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9" w:type="dxa"/>
            <w:vAlign w:val="center"/>
          </w:tcPr>
          <w:p w:rsidR="000341F7" w:rsidRPr="00861DC2" w:rsidRDefault="00105F40" w:rsidP="00861DC2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–</w:t>
            </w:r>
          </w:p>
        </w:tc>
        <w:tc>
          <w:tcPr>
            <w:tcW w:w="1011" w:type="dxa"/>
          </w:tcPr>
          <w:p w:rsidR="000341F7" w:rsidRPr="008131AF" w:rsidRDefault="006F7E75" w:rsidP="000341F7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0341F7" w:rsidRDefault="00861DC2" w:rsidP="00861DC2">
      <w:pPr>
        <w:pStyle w:val="a5"/>
        <w:spacing w:before="240"/>
        <w:rPr>
          <w:rFonts w:eastAsiaTheme="minorEastAsia"/>
          <w:szCs w:val="24"/>
        </w:rPr>
      </w:pPr>
      <w:r>
        <w:t xml:space="preserve">Соседи </w:t>
      </w:r>
      <w:r>
        <w:rPr>
          <w:lang w:val="en-US"/>
        </w:rPr>
        <w:t>I</w:t>
      </w:r>
      <w:r w:rsidRPr="00861DC2">
        <w:t xml:space="preserve"> </w:t>
      </w:r>
      <w:r>
        <w:t xml:space="preserve">рода: </w:t>
      </w:r>
      <w:bookmarkStart w:id="13" w:name="_GoBack"/>
      <w:bookmarkEnd w:id="13"/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 ; 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 ;</m:t>
        </m:r>
        <m:r>
          <w:rPr>
            <w:rFonts w:ascii="Cambria Math" w:hAnsi="Cambria Math"/>
            <w:szCs w:val="24"/>
          </w:rPr>
          <m:t xml:space="preserve"> 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5</m:t>
            </m:r>
          </m:sub>
        </m:sSub>
        <m:r>
          <w:rPr>
            <w:rFonts w:ascii="Cambria Math" w:hAnsi="Cambria Math"/>
            <w:szCs w:val="24"/>
          </w:rPr>
          <m:t xml:space="preserve"> ; </m:t>
        </m:r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6</m:t>
            </m:r>
          </m:sub>
        </m:sSub>
      </m:oMath>
    </w:p>
    <w:p w:rsidR="003418AF" w:rsidRPr="00D515AF" w:rsidRDefault="003418AF" w:rsidP="003418AF">
      <w:pPr>
        <w:pStyle w:val="a5"/>
      </w:pPr>
      <w:r>
        <w:rPr>
          <w:rFonts w:eastAsiaTheme="minorEastAsia"/>
          <w:szCs w:val="24"/>
        </w:rPr>
        <w:t xml:space="preserve">Соседи </w:t>
      </w:r>
      <w:r>
        <w:rPr>
          <w:rFonts w:eastAsiaTheme="minorEastAsia"/>
          <w:szCs w:val="24"/>
          <w:lang w:val="en-US"/>
        </w:rPr>
        <w:t xml:space="preserve">II </w:t>
      </w:r>
      <w:r>
        <w:rPr>
          <w:rFonts w:eastAsiaTheme="minorEastAsia"/>
          <w:szCs w:val="24"/>
        </w:rPr>
        <w:t xml:space="preserve">рода: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 ; 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6</m:t>
            </m:r>
          </m:sub>
        </m:sSub>
      </m:oMath>
    </w:p>
    <w:p w:rsidR="003418AF" w:rsidRPr="00861DC2" w:rsidRDefault="003418AF" w:rsidP="003418AF">
      <w:pPr>
        <w:pStyle w:val="a5"/>
      </w:pPr>
    </w:p>
    <w:sectPr w:rsidR="003418AF" w:rsidRPr="00861DC2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75" w:rsidRDefault="006F7E75" w:rsidP="008971D9">
      <w:pPr>
        <w:spacing w:after="0" w:line="240" w:lineRule="auto"/>
      </w:pPr>
      <w:r>
        <w:separator/>
      </w:r>
    </w:p>
  </w:endnote>
  <w:endnote w:type="continuationSeparator" w:id="0">
    <w:p w:rsidR="006F7E75" w:rsidRDefault="006F7E75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EndPr/>
    <w:sdtContent>
      <w:p w:rsidR="00861DC2" w:rsidRDefault="00861DC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8FD">
          <w:rPr>
            <w:noProof/>
          </w:rPr>
          <w:t>22</w:t>
        </w:r>
        <w:r>
          <w:fldChar w:fldCharType="end"/>
        </w:r>
      </w:p>
    </w:sdtContent>
  </w:sdt>
  <w:p w:rsidR="00861DC2" w:rsidRDefault="00861D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75" w:rsidRDefault="006F7E75" w:rsidP="008971D9">
      <w:pPr>
        <w:spacing w:after="0" w:line="240" w:lineRule="auto"/>
      </w:pPr>
      <w:r>
        <w:separator/>
      </w:r>
    </w:p>
  </w:footnote>
  <w:footnote w:type="continuationSeparator" w:id="0">
    <w:p w:rsidR="006F7E75" w:rsidRDefault="006F7E75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41F7"/>
    <w:rsid w:val="000363B1"/>
    <w:rsid w:val="0003671A"/>
    <w:rsid w:val="00036E99"/>
    <w:rsid w:val="00037CFA"/>
    <w:rsid w:val="00043959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5F40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1FAC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7AD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0B55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B754E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18AF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1FA"/>
    <w:rsid w:val="00381570"/>
    <w:rsid w:val="003832DE"/>
    <w:rsid w:val="00386618"/>
    <w:rsid w:val="003876BD"/>
    <w:rsid w:val="00387AA4"/>
    <w:rsid w:val="00392E61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0579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367"/>
    <w:rsid w:val="00432699"/>
    <w:rsid w:val="00444C79"/>
    <w:rsid w:val="004458CB"/>
    <w:rsid w:val="0045279C"/>
    <w:rsid w:val="00453002"/>
    <w:rsid w:val="004533B8"/>
    <w:rsid w:val="00457218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2C20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26D3"/>
    <w:rsid w:val="00695860"/>
    <w:rsid w:val="00695E27"/>
    <w:rsid w:val="0069787E"/>
    <w:rsid w:val="00697AD8"/>
    <w:rsid w:val="006A160D"/>
    <w:rsid w:val="006A1A5B"/>
    <w:rsid w:val="006B0154"/>
    <w:rsid w:val="006B38FD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6F7E75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5A8E"/>
    <w:rsid w:val="00727FA8"/>
    <w:rsid w:val="00730CB2"/>
    <w:rsid w:val="00731D82"/>
    <w:rsid w:val="00733B25"/>
    <w:rsid w:val="00735128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524F"/>
    <w:rsid w:val="00776681"/>
    <w:rsid w:val="00777029"/>
    <w:rsid w:val="00782B8E"/>
    <w:rsid w:val="00790628"/>
    <w:rsid w:val="00792C5D"/>
    <w:rsid w:val="0079404E"/>
    <w:rsid w:val="007955C9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1DC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20C50"/>
    <w:rsid w:val="0092377B"/>
    <w:rsid w:val="00931018"/>
    <w:rsid w:val="00934F42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81BBD"/>
    <w:rsid w:val="00C83153"/>
    <w:rsid w:val="00C85C4F"/>
    <w:rsid w:val="00CA2AB0"/>
    <w:rsid w:val="00CA6688"/>
    <w:rsid w:val="00CB66E6"/>
    <w:rsid w:val="00CB6989"/>
    <w:rsid w:val="00CC0FD5"/>
    <w:rsid w:val="00CC4B51"/>
    <w:rsid w:val="00CD1637"/>
    <w:rsid w:val="00CD49FB"/>
    <w:rsid w:val="00CD51C9"/>
    <w:rsid w:val="00CD5A7E"/>
    <w:rsid w:val="00CD5CD5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975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24B2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E791B"/>
    <w:rsid w:val="00EF0932"/>
    <w:rsid w:val="00EF0B71"/>
    <w:rsid w:val="00EF0EE6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4"/>
    <w:rsid w:val="003D74C8"/>
    <w:rsid w:val="00B037C1"/>
    <w:rsid w:val="00B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4C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764293A5-EA69-4DE2-A637-D2350142A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3697</TotalTime>
  <Pages>22</Pages>
  <Words>3490</Words>
  <Characters>19894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23338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177</cp:revision>
  <cp:lastPrinted>2017-04-20T10:41:00Z</cp:lastPrinted>
  <dcterms:created xsi:type="dcterms:W3CDTF">2017-04-20T03:50:00Z</dcterms:created>
  <dcterms:modified xsi:type="dcterms:W3CDTF">2017-06-03T23:57:00Z</dcterms:modified>
</cp:coreProperties>
</file>